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rPr>
          <w:rFonts w:ascii="宋体" w:hAnsi="宋体" w:eastAsia="宋体"/>
          <w:b/>
          <w:color w:val="000000"/>
          <w:sz w:val="40"/>
        </w:rPr>
        <w:t>RMO一站式临床试验风险管理网站需求文档</w:t>
      </w:r>
    </w:p>
    <w:p/>
    <w:p>
      <w:pPr>
        <w:pStyle w:val="Heading2"/>
      </w:pPr>
      <w:r>
        <w:rPr>
          <w:rFonts w:ascii="宋体" w:hAnsi="宋体" w:eastAsia="宋体"/>
          <w:b/>
          <w:color w:val="000000"/>
          <w:sz w:val="36"/>
        </w:rPr>
        <w:t>一、项目概述</w:t>
      </w:r>
    </w:p>
    <w:p/>
    <w:p>
      <w:pPr>
        <w:pStyle w:val="Heading3"/>
      </w:pPr>
      <w:r>
        <w:rPr>
          <w:rFonts w:ascii="宋体" w:hAnsi="宋体" w:eastAsia="宋体"/>
          <w:b/>
          <w:color w:val="000000"/>
          <w:sz w:val="32"/>
        </w:rPr>
        <w:t>1.1 项目背景</w:t>
      </w:r>
    </w:p>
    <w:p>
      <w:r>
        <w:rPr>
          <w:rFonts w:ascii="宋体" w:hAnsi="宋体" w:eastAsia="宋体"/>
          <w:b w:val="0"/>
          <w:sz w:val="24"/>
        </w:rPr>
        <w:t>RMO（Risk Management Organization）是一个"一站式的、涉及到患者/受试者安全责任的保险与保障方案"。</w:t>
      </w:r>
    </w:p>
    <w:p/>
    <w:p>
      <w:pPr>
        <w:pStyle w:val="Heading3"/>
      </w:pPr>
      <w:r>
        <w:rPr>
          <w:rFonts w:ascii="宋体" w:hAnsi="宋体" w:eastAsia="宋体"/>
          <w:b/>
          <w:color w:val="000000"/>
          <w:sz w:val="32"/>
        </w:rPr>
        <w:t>1.2 网站目标</w:t>
      </w:r>
    </w:p>
    <w:p>
      <w:pPr>
        <w:pStyle w:val="ListBullet"/>
      </w:pPr>
      <w:r>
        <w:rPr>
          <w:rFonts w:ascii="宋体" w:hAnsi="宋体" w:eastAsia="宋体"/>
          <w:b w:val="0"/>
          <w:sz w:val="24"/>
        </w:rPr>
        <w:t>介绍RMO模式及其核心理念</w:t>
      </w:r>
    </w:p>
    <w:p>
      <w:pPr>
        <w:pStyle w:val="ListBullet"/>
      </w:pPr>
      <w:r>
        <w:rPr>
          <w:rFonts w:ascii="宋体" w:hAnsi="宋体" w:eastAsia="宋体"/>
          <w:b w:val="0"/>
          <w:sz w:val="24"/>
        </w:rPr>
        <w:t>清晰展示申办者、研究机构、SMO、CRO在临床试验中各自应承担的职责</w:t>
      </w:r>
    </w:p>
    <w:p>
      <w:pPr>
        <w:pStyle w:val="ListBullet"/>
      </w:pPr>
      <w:r>
        <w:rPr>
          <w:rFonts w:ascii="宋体" w:hAnsi="宋体" w:eastAsia="宋体"/>
          <w:b w:val="0"/>
          <w:sz w:val="24"/>
        </w:rPr>
        <w:t>说明保险和保证金方式如何保障受试者安全</w:t>
      </w:r>
    </w:p>
    <w:p>
      <w:pPr>
        <w:pStyle w:val="ListBullet"/>
      </w:pPr>
      <w:r>
        <w:rPr>
          <w:rFonts w:ascii="宋体" w:hAnsi="宋体" w:eastAsia="宋体"/>
          <w:b w:val="0"/>
          <w:sz w:val="24"/>
        </w:rPr>
        <w:t>展示临研安公司的服务能力和专业价值</w:t>
      </w:r>
    </w:p>
    <w:p>
      <w:pPr>
        <w:pStyle w:val="ListBullet"/>
      </w:pPr>
      <w:r>
        <w:rPr>
          <w:rFonts w:ascii="宋体" w:hAnsi="宋体" w:eastAsia="宋体"/>
          <w:b w:val="0"/>
          <w:sz w:val="24"/>
        </w:rPr>
        <w:t>为不同角色（申办方、试验机构、受试者、服务方）提供针对性的信息和服务</w:t>
      </w:r>
    </w:p>
    <w:p/>
    <w:p>
      <w:pPr>
        <w:pStyle w:val="Heading3"/>
      </w:pPr>
      <w:r>
        <w:rPr>
          <w:rFonts w:ascii="宋体" w:hAnsi="宋体" w:eastAsia="宋体"/>
          <w:b/>
          <w:color w:val="000000"/>
          <w:sz w:val="32"/>
        </w:rPr>
        <w:t>1.3 目标用户</w:t>
      </w:r>
    </w:p>
    <w:p>
      <w:pPr>
        <w:pStyle w:val="ListBullet"/>
      </w:pPr>
      <w:r>
        <w:rPr>
          <w:rFonts w:ascii="宋体" w:hAnsi="宋体" w:eastAsia="宋体"/>
          <w:b w:val="0"/>
          <w:sz w:val="24"/>
        </w:rPr>
        <w:t>主要用户：申办者（制药企业、生物技术公司等）</w:t>
      </w:r>
    </w:p>
    <w:p>
      <w:pPr>
        <w:pStyle w:val="ListBullet"/>
      </w:pPr>
      <w:r>
        <w:rPr>
          <w:rFonts w:ascii="宋体" w:hAnsi="宋体" w:eastAsia="宋体"/>
          <w:b w:val="0"/>
          <w:sz w:val="24"/>
        </w:rPr>
        <w:t>次要用户：研究机构、研究者、伦理委员会</w:t>
      </w:r>
    </w:p>
    <w:p>
      <w:pPr>
        <w:pStyle w:val="ListBullet"/>
      </w:pPr>
      <w:r>
        <w:rPr>
          <w:rFonts w:ascii="宋体" w:hAnsi="宋体" w:eastAsia="宋体"/>
          <w:b w:val="0"/>
          <w:sz w:val="24"/>
        </w:rPr>
        <w:t>其他用户：CRO、CDMO、SMO、受试者</w:t>
      </w:r>
    </w:p>
    <w:p/>
    <w:p>
      <w:r>
        <w:rPr>
          <w:rFonts w:ascii="宋体" w:hAnsi="宋体" w:eastAsia="宋体"/>
          <w:b w:val="0"/>
          <w:sz w:val="24"/>
        </w:rPr>
        <w:t>---</w:t>
      </w:r>
    </w:p>
    <w:p/>
    <w:p>
      <w:pPr>
        <w:pStyle w:val="Heading2"/>
      </w:pPr>
      <w:r>
        <w:rPr>
          <w:rFonts w:ascii="宋体" w:hAnsi="宋体" w:eastAsia="宋体"/>
          <w:b/>
          <w:color w:val="000000"/>
          <w:sz w:val="36"/>
        </w:rPr>
        <w:t>二、网站架构与页面结构</w:t>
      </w:r>
    </w:p>
    <w:p/>
    <w:p>
      <w:pPr>
        <w:pStyle w:val="Heading3"/>
      </w:pPr>
      <w:r>
        <w:rPr>
          <w:rFonts w:ascii="宋体" w:hAnsi="宋体" w:eastAsia="宋体"/>
          <w:b/>
          <w:color w:val="000000"/>
          <w:sz w:val="32"/>
        </w:rPr>
        <w:t>2.1 整体架构</w:t>
      </w:r>
    </w:p>
    <w:p/>
    <w:p>
      <w:pPr>
        <w:pStyle w:val="Heading3"/>
      </w:pPr>
      <w:r>
        <w:rPr>
          <w:rFonts w:ascii="宋体" w:hAnsi="宋体" w:eastAsia="宋体"/>
          <w:b/>
          <w:color w:val="000000"/>
          <w:sz w:val="32"/>
        </w:rPr>
        <w:t>2.2 核心页面详细需求</w:t>
      </w:r>
    </w:p>
    <w:p/>
    <w:p>
      <w:pPr>
        <w:pStyle w:val="Heading4"/>
      </w:pPr>
      <w:r>
        <w:rPr>
          <w:rFonts w:ascii="宋体" w:hAnsi="宋体" w:eastAsia="宋体"/>
          <w:b/>
          <w:color w:val="000000"/>
          <w:sz w:val="28"/>
        </w:rPr>
        <w:t>2.2.1 首页</w:t>
      </w:r>
    </w:p>
    <w:p>
      <w:r>
        <w:rPr>
          <w:rFonts w:ascii="宋体" w:hAnsi="宋体" w:eastAsia="宋体"/>
          <w:b/>
          <w:sz w:val="24"/>
        </w:rPr>
        <w:t>核心元素：</w:t>
      </w:r>
    </w:p>
    <w:p>
      <w:pPr>
        <w:pStyle w:val="ListBullet"/>
      </w:pPr>
      <w:r>
        <w:rPr>
          <w:rFonts w:ascii="宋体" w:hAnsi="宋体" w:eastAsia="宋体"/>
          <w:b w:val="0"/>
          <w:sz w:val="24"/>
        </w:rPr>
        <w:t>一站式风险管理模式图（图片/可视化图表）</w:t>
      </w:r>
    </w:p>
    <w:p>
      <w:pPr>
        <w:pStyle w:val="ListBullet"/>
      </w:pPr>
      <w:r>
        <w:rPr>
          <w:rFonts w:ascii="宋体" w:hAnsi="宋体" w:eastAsia="宋体"/>
          <w:b w:val="0"/>
          <w:sz w:val="24"/>
        </w:rPr>
        <w:t>展示各角色关系</w:t>
      </w:r>
    </w:p>
    <w:p>
      <w:pPr>
        <w:pStyle w:val="ListBullet"/>
      </w:pPr>
      <w:r>
        <w:rPr>
          <w:rFonts w:ascii="宋体" w:hAnsi="宋体" w:eastAsia="宋体"/>
          <w:b w:val="0"/>
          <w:sz w:val="24"/>
        </w:rPr>
        <w:t>展示风险流向</w:t>
      </w:r>
    </w:p>
    <w:p>
      <w:pPr>
        <w:pStyle w:val="ListBullet"/>
      </w:pPr>
      <w:r>
        <w:rPr>
          <w:rFonts w:ascii="宋体" w:hAnsi="宋体" w:eastAsia="宋体"/>
          <w:b w:val="0"/>
          <w:sz w:val="24"/>
        </w:rPr>
        <w:t>展示保障机制</w:t>
      </w:r>
    </w:p>
    <w:p>
      <w:pPr>
        <w:pStyle w:val="ListBullet"/>
      </w:pPr>
      <w:r>
        <w:rPr>
          <w:rFonts w:ascii="宋体" w:hAnsi="宋体" w:eastAsia="宋体"/>
          <w:b w:val="0"/>
          <w:sz w:val="24"/>
        </w:rPr>
        <w:t>RMO模式介绍</w:t>
      </w:r>
    </w:p>
    <w:p>
      <w:pPr>
        <w:pStyle w:val="ListBullet"/>
      </w:pPr>
      <w:r>
        <w:rPr>
          <w:rFonts w:ascii="宋体" w:hAnsi="宋体" w:eastAsia="宋体"/>
          <w:b w:val="0"/>
          <w:sz w:val="24"/>
        </w:rPr>
        <w:t>模式说明</w:t>
      </w:r>
    </w:p>
    <w:p>
      <w:pPr>
        <w:pStyle w:val="ListBullet"/>
      </w:pPr>
      <w:r>
        <w:rPr>
          <w:rFonts w:ascii="宋体" w:hAnsi="宋体" w:eastAsia="宋体"/>
          <w:b w:val="0"/>
          <w:sz w:val="24"/>
        </w:rPr>
        <w:t>核心理念</w:t>
      </w:r>
    </w:p>
    <w:p>
      <w:pPr>
        <w:pStyle w:val="ListBullet"/>
      </w:pPr>
      <w:r>
        <w:rPr>
          <w:rFonts w:ascii="宋体" w:hAnsi="宋体" w:eastAsia="宋体"/>
          <w:b w:val="0"/>
          <w:sz w:val="24"/>
        </w:rPr>
        <w:t>核心价值</w:t>
      </w:r>
    </w:p>
    <w:p>
      <w:pPr>
        <w:pStyle w:val="ListBullet"/>
      </w:pPr>
      <w:r>
        <w:rPr>
          <w:rFonts w:ascii="宋体" w:hAnsi="宋体" w:eastAsia="宋体"/>
          <w:b w:val="0"/>
          <w:sz w:val="24"/>
        </w:rPr>
        <w:t>RMO模式服务方</w:t>
      </w:r>
    </w:p>
    <w:p>
      <w:pPr>
        <w:pStyle w:val="ListBullet"/>
      </w:pPr>
      <w:r>
        <w:rPr>
          <w:rFonts w:ascii="宋体" w:hAnsi="宋体" w:eastAsia="宋体"/>
          <w:b w:val="0"/>
          <w:sz w:val="24"/>
        </w:rPr>
        <w:t>临研安的风险管理能力</w:t>
      </w:r>
    </w:p>
    <w:p>
      <w:pPr>
        <w:pStyle w:val="ListBullet"/>
      </w:pPr>
      <w:r>
        <w:rPr>
          <w:rFonts w:ascii="宋体" w:hAnsi="宋体" w:eastAsia="宋体"/>
          <w:b w:val="0"/>
          <w:sz w:val="24"/>
        </w:rPr>
        <w:t>参与方的类型：包括药盾、经纪公司、保司</w:t>
      </w:r>
    </w:p>
    <w:p>
      <w:pPr>
        <w:pStyle w:val="ListBullet"/>
      </w:pPr>
      <w:r>
        <w:rPr>
          <w:rFonts w:ascii="宋体" w:hAnsi="宋体" w:eastAsia="宋体"/>
          <w:b w:val="0"/>
          <w:sz w:val="24"/>
        </w:rPr>
        <w:t>快速导航：链接到各角色专区</w:t>
      </w:r>
    </w:p>
    <w:p/>
    <w:p>
      <w:r>
        <w:rPr>
          <w:rFonts w:ascii="宋体" w:hAnsi="宋体" w:eastAsia="宋体"/>
          <w:b/>
          <w:sz w:val="24"/>
        </w:rPr>
        <w:t>交互要求：</w:t>
      </w:r>
    </w:p>
    <w:p>
      <w:pPr>
        <w:pStyle w:val="ListBullet"/>
      </w:pPr>
      <w:r>
        <w:rPr>
          <w:rFonts w:ascii="宋体" w:hAnsi="宋体" w:eastAsia="宋体"/>
          <w:b w:val="0"/>
          <w:sz w:val="24"/>
        </w:rPr>
        <w:t>模式图支持交互式展示（可点击查看详情）</w:t>
      </w:r>
    </w:p>
    <w:p>
      <w:pPr>
        <w:pStyle w:val="ListBullet"/>
      </w:pPr>
      <w:r>
        <w:rPr>
          <w:rFonts w:ascii="宋体" w:hAnsi="宋体" w:eastAsia="宋体"/>
          <w:b w:val="0"/>
          <w:sz w:val="24"/>
        </w:rPr>
        <w:t>响应式设计，适配不同屏幕尺寸</w:t>
      </w:r>
    </w:p>
    <w:p/>
    <w:p>
      <w:pPr>
        <w:pStyle w:val="Heading4"/>
      </w:pPr>
      <w:r>
        <w:rPr>
          <w:rFonts w:ascii="宋体" w:hAnsi="宋体" w:eastAsia="宋体"/>
          <w:b/>
          <w:color w:val="000000"/>
          <w:sz w:val="28"/>
        </w:rPr>
        <w:t>2.2.2 公司介绍页面</w:t>
      </w:r>
    </w:p>
    <w:p>
      <w:r>
        <w:rPr>
          <w:rFonts w:ascii="宋体" w:hAnsi="宋体" w:eastAsia="宋体"/>
          <w:b/>
          <w:sz w:val="24"/>
        </w:rPr>
        <w:t>内容模块：</w:t>
      </w:r>
    </w:p>
    <w:p>
      <w:pPr>
        <w:pStyle w:val="ListNumber"/>
      </w:pPr>
      <w:r>
        <w:rPr>
          <w:rFonts w:ascii="宋体" w:hAnsi="宋体" w:eastAsia="宋体"/>
          <w:b w:val="0"/>
          <w:sz w:val="24"/>
        </w:rPr>
        <w:t>公司简介</w:t>
      </w:r>
    </w:p>
    <w:p>
      <w:pPr>
        <w:pStyle w:val="ListBullet"/>
      </w:pPr>
      <w:r>
        <w:rPr>
          <w:rFonts w:ascii="宋体" w:hAnsi="宋体" w:eastAsia="宋体"/>
          <w:b w:val="0"/>
          <w:sz w:val="24"/>
        </w:rPr>
        <w:t>临研安公司介绍</w:t>
      </w:r>
    </w:p>
    <w:p>
      <w:pPr>
        <w:pStyle w:val="ListBullet"/>
      </w:pPr>
      <w:r>
        <w:rPr>
          <w:rFonts w:ascii="宋体" w:hAnsi="宋体" w:eastAsia="宋体"/>
          <w:b w:val="0"/>
          <w:sz w:val="24"/>
        </w:rPr>
        <w:t>华泰保险经纪合作介绍</w:t>
      </w:r>
    </w:p>
    <w:p>
      <w:pPr>
        <w:pStyle w:val="ListBullet"/>
      </w:pPr>
      <w:r>
        <w:rPr>
          <w:rFonts w:ascii="宋体" w:hAnsi="宋体" w:eastAsia="宋体"/>
          <w:b w:val="0"/>
          <w:sz w:val="24"/>
        </w:rPr>
        <w:t>核心优势</w:t>
      </w:r>
    </w:p>
    <w:p/>
    <w:p>
      <w:pPr>
        <w:pStyle w:val="ListNumber"/>
      </w:pPr>
      <w:r>
        <w:rPr>
          <w:rFonts w:ascii="宋体" w:hAnsi="宋体" w:eastAsia="宋体"/>
          <w:b w:val="0"/>
          <w:sz w:val="24"/>
        </w:rPr>
        <w:t>活动动态</w:t>
      </w:r>
    </w:p>
    <w:p>
      <w:pPr>
        <w:pStyle w:val="ListBullet"/>
      </w:pPr>
      <w:r>
        <w:rPr>
          <w:rFonts w:ascii="宋体" w:hAnsi="宋体" w:eastAsia="宋体"/>
          <w:b w:val="0"/>
          <w:sz w:val="24"/>
        </w:rPr>
        <w:t>行业研讨会参与记录</w:t>
      </w:r>
    </w:p>
    <w:p>
      <w:pPr>
        <w:pStyle w:val="ListBullet"/>
      </w:pPr>
      <w:r>
        <w:rPr>
          <w:rFonts w:ascii="宋体" w:hAnsi="宋体" w:eastAsia="宋体"/>
          <w:b w:val="0"/>
          <w:sz w:val="24"/>
        </w:rPr>
        <w:t>发布会信息</w:t>
      </w:r>
    </w:p>
    <w:p>
      <w:pPr>
        <w:pStyle w:val="ListBullet"/>
      </w:pPr>
      <w:r>
        <w:rPr>
          <w:rFonts w:ascii="宋体" w:hAnsi="宋体" w:eastAsia="宋体"/>
          <w:b w:val="0"/>
          <w:sz w:val="24"/>
        </w:rPr>
        <w:t>展会参与</w:t>
      </w:r>
    </w:p>
    <w:p>
      <w:pPr>
        <w:pStyle w:val="ListBullet"/>
      </w:pPr>
      <w:r>
        <w:rPr>
          <w:rFonts w:ascii="宋体" w:hAnsi="宋体" w:eastAsia="宋体"/>
          <w:b w:val="0"/>
          <w:sz w:val="24"/>
        </w:rPr>
        <w:t>培训会组织/参与</w:t>
      </w:r>
    </w:p>
    <w:p>
      <w:pPr>
        <w:pStyle w:val="ListBullet"/>
      </w:pPr>
      <w:r>
        <w:rPr>
          <w:rFonts w:ascii="宋体" w:hAnsi="宋体" w:eastAsia="宋体"/>
          <w:b w:val="0"/>
          <w:sz w:val="24"/>
        </w:rPr>
        <w:t>支持筛选、搜索、时间线展示</w:t>
      </w:r>
    </w:p>
    <w:p/>
    <w:p>
      <w:pPr>
        <w:pStyle w:val="ListNumber"/>
      </w:pPr>
      <w:r>
        <w:rPr>
          <w:rFonts w:ascii="宋体" w:hAnsi="宋体" w:eastAsia="宋体"/>
          <w:b w:val="0"/>
          <w:sz w:val="24"/>
        </w:rPr>
        <w:t>资源中心</w:t>
      </w:r>
    </w:p>
    <w:p>
      <w:pPr>
        <w:pStyle w:val="ListBullet"/>
      </w:pPr>
      <w:r>
        <w:rPr>
          <w:rFonts w:ascii="宋体" w:hAnsi="宋体" w:eastAsia="宋体"/>
          <w:b w:val="0"/>
          <w:sz w:val="24"/>
        </w:rPr>
        <w:t>法律法规：相关法规文件下载/查看</w:t>
      </w:r>
    </w:p>
    <w:p>
      <w:pPr>
        <w:pStyle w:val="ListBullet"/>
      </w:pPr>
      <w:r>
        <w:rPr>
          <w:rFonts w:ascii="宋体" w:hAnsi="宋体" w:eastAsia="宋体"/>
          <w:b w:val="0"/>
          <w:sz w:val="24"/>
        </w:rPr>
        <w:t>团体标准：行业标准文档</w:t>
      </w:r>
    </w:p>
    <w:p>
      <w:pPr>
        <w:pStyle w:val="ListBullet"/>
      </w:pPr>
      <w:r>
        <w:rPr>
          <w:rFonts w:ascii="宋体" w:hAnsi="宋体" w:eastAsia="宋体"/>
          <w:b w:val="0"/>
          <w:sz w:val="24"/>
        </w:rPr>
        <w:t>行业共识：共识性文件</w:t>
      </w:r>
    </w:p>
    <w:p>
      <w:pPr>
        <w:pStyle w:val="ListBullet"/>
      </w:pPr>
      <w:r>
        <w:rPr>
          <w:rFonts w:ascii="宋体" w:hAnsi="宋体" w:eastAsia="宋体"/>
          <w:b w:val="0"/>
          <w:sz w:val="24"/>
        </w:rPr>
        <w:t>视频资料：培训视频、宣传视频等</w:t>
      </w:r>
    </w:p>
    <w:p>
      <w:pPr>
        <w:pStyle w:val="ListBullet"/>
      </w:pPr>
      <w:r>
        <w:rPr>
          <w:rFonts w:ascii="宋体" w:hAnsi="宋体" w:eastAsia="宋体"/>
          <w:b w:val="0"/>
          <w:sz w:val="24"/>
        </w:rPr>
        <w:t>支持分类、搜索、下载功能</w:t>
      </w:r>
    </w:p>
    <w:p/>
    <w:p>
      <w:pPr>
        <w:pStyle w:val="Heading4"/>
      </w:pPr>
      <w:r>
        <w:rPr>
          <w:rFonts w:ascii="宋体" w:hAnsi="宋体" w:eastAsia="宋体"/>
          <w:b/>
          <w:color w:val="000000"/>
          <w:sz w:val="28"/>
        </w:rPr>
        <w:t>2.2.3 我们的服务页面</w:t>
      </w:r>
    </w:p>
    <w:p>
      <w:r>
        <w:rPr>
          <w:rFonts w:ascii="宋体" w:hAnsi="宋体" w:eastAsia="宋体"/>
          <w:b/>
          <w:sz w:val="24"/>
        </w:rPr>
        <w:t>重点展示：</w:t>
      </w:r>
    </w:p>
    <w:p>
      <w:pPr>
        <w:pStyle w:val="ListNumber"/>
      </w:pPr>
      <w:r>
        <w:rPr>
          <w:rFonts w:ascii="宋体" w:hAnsi="宋体" w:eastAsia="宋体"/>
          <w:b w:val="0"/>
          <w:sz w:val="24"/>
        </w:rPr>
        <w:t>自保（专项风险管理基金）</w:t>
      </w:r>
    </w:p>
    <w:p>
      <w:pPr>
        <w:pStyle w:val="ListBullet"/>
      </w:pPr>
      <w:r>
        <w:rPr>
          <w:rFonts w:ascii="宋体" w:hAnsi="宋体" w:eastAsia="宋体"/>
          <w:b w:val="0"/>
          <w:sz w:val="24"/>
        </w:rPr>
        <w:t>基金设立方式</w:t>
      </w:r>
    </w:p>
    <w:p>
      <w:pPr>
        <w:pStyle w:val="ListBullet"/>
      </w:pPr>
      <w:r>
        <w:rPr>
          <w:rFonts w:ascii="宋体" w:hAnsi="宋体" w:eastAsia="宋体"/>
          <w:b w:val="0"/>
          <w:sz w:val="24"/>
        </w:rPr>
        <w:t>使用范围</w:t>
      </w:r>
    </w:p>
    <w:p>
      <w:pPr>
        <w:pStyle w:val="ListBullet"/>
      </w:pPr>
      <w:r>
        <w:rPr>
          <w:rFonts w:ascii="宋体" w:hAnsi="宋体" w:eastAsia="宋体"/>
          <w:b w:val="0"/>
          <w:sz w:val="24"/>
        </w:rPr>
        <w:t>管理流程</w:t>
      </w:r>
    </w:p>
    <w:p>
      <w:pPr>
        <w:pStyle w:val="ListBullet"/>
      </w:pPr>
      <w:r>
        <w:rPr>
          <w:rFonts w:ascii="宋体" w:hAnsi="宋体" w:eastAsia="宋体"/>
          <w:b w:val="0"/>
          <w:sz w:val="24"/>
        </w:rPr>
        <w:t>多退少补原则</w:t>
      </w:r>
    </w:p>
    <w:p>
      <w:pPr>
        <w:pStyle w:val="ListBullet"/>
      </w:pPr>
      <w:r>
        <w:rPr>
          <w:rFonts w:ascii="宋体" w:hAnsi="宋体" w:eastAsia="宋体"/>
          <w:b w:val="0"/>
          <w:sz w:val="24"/>
        </w:rPr>
        <w:t>费用模式（比例费用、案件费用）</w:t>
      </w:r>
    </w:p>
    <w:p/>
    <w:p>
      <w:pPr>
        <w:pStyle w:val="ListNumber"/>
      </w:pPr>
      <w:r>
        <w:rPr>
          <w:rFonts w:ascii="宋体" w:hAnsi="宋体" w:eastAsia="宋体"/>
          <w:b w:val="0"/>
          <w:sz w:val="24"/>
        </w:rPr>
        <w:t>风险减量服务</w:t>
      </w:r>
    </w:p>
    <w:p>
      <w:pPr>
        <w:pStyle w:val="ListBullet"/>
      </w:pPr>
      <w:r>
        <w:rPr>
          <w:rFonts w:ascii="宋体" w:hAnsi="宋体" w:eastAsia="宋体"/>
          <w:b w:val="0"/>
          <w:sz w:val="24"/>
        </w:rPr>
        <w:t>服务内容：风险点检查、人员培训、方案完善建议</w:t>
      </w:r>
    </w:p>
    <w:p>
      <w:pPr>
        <w:pStyle w:val="ListBullet"/>
      </w:pPr>
      <w:r>
        <w:rPr>
          <w:rFonts w:ascii="宋体" w:hAnsi="宋体" w:eastAsia="宋体"/>
          <w:b w:val="0"/>
          <w:sz w:val="24"/>
        </w:rPr>
        <w:t>服务流程</w:t>
      </w:r>
    </w:p>
    <w:p>
      <w:pPr>
        <w:pStyle w:val="ListBullet"/>
      </w:pPr>
      <w:r>
        <w:rPr>
          <w:rFonts w:ascii="宋体" w:hAnsi="宋体" w:eastAsia="宋体"/>
          <w:b w:val="0"/>
          <w:sz w:val="24"/>
        </w:rPr>
        <w:t>服务案例</w:t>
      </w:r>
    </w:p>
    <w:p/>
    <w:p>
      <w:pPr>
        <w:pStyle w:val="ListNumber"/>
      </w:pPr>
      <w:r>
        <w:rPr>
          <w:rFonts w:ascii="宋体" w:hAnsi="宋体" w:eastAsia="宋体"/>
          <w:b w:val="0"/>
          <w:sz w:val="24"/>
        </w:rPr>
        <w:t>外溢风险管理服务</w:t>
      </w:r>
    </w:p>
    <w:p>
      <w:pPr>
        <w:pStyle w:val="ListBullet"/>
      </w:pPr>
      <w:r>
        <w:rPr>
          <w:rFonts w:ascii="宋体" w:hAnsi="宋体" w:eastAsia="宋体"/>
          <w:b w:val="0"/>
          <w:sz w:val="24"/>
        </w:rPr>
        <w:t>全流程管理说明</w:t>
      </w:r>
    </w:p>
    <w:p>
      <w:pPr>
        <w:pStyle w:val="ListBullet"/>
      </w:pPr>
      <w:r>
        <w:rPr>
          <w:rFonts w:ascii="宋体" w:hAnsi="宋体" w:eastAsia="宋体"/>
          <w:b w:val="0"/>
          <w:sz w:val="24"/>
        </w:rPr>
        <w:t>服务内容：联系、安抚、安排就医、沟通诉求、沟通合理预期</w:t>
      </w:r>
    </w:p>
    <w:p>
      <w:pPr>
        <w:pStyle w:val="ListBullet"/>
      </w:pPr>
      <w:r>
        <w:rPr>
          <w:rFonts w:ascii="宋体" w:hAnsi="宋体" w:eastAsia="宋体"/>
          <w:b w:val="0"/>
          <w:sz w:val="24"/>
        </w:rPr>
        <w:t>服务优势</w:t>
      </w:r>
    </w:p>
    <w:p/>
    <w:p>
      <w:pPr>
        <w:pStyle w:val="ListNumber"/>
      </w:pPr>
      <w:r>
        <w:rPr>
          <w:rFonts w:ascii="宋体" w:hAnsi="宋体" w:eastAsia="宋体"/>
          <w:b w:val="0"/>
          <w:sz w:val="24"/>
        </w:rPr>
        <w:t>保险服务</w:t>
      </w:r>
    </w:p>
    <w:p>
      <w:pPr>
        <w:pStyle w:val="ListBullet"/>
      </w:pPr>
      <w:r>
        <w:rPr>
          <w:rFonts w:ascii="宋体" w:hAnsi="宋体" w:eastAsia="宋体"/>
          <w:b w:val="0"/>
          <w:sz w:val="24"/>
        </w:rPr>
        <w:t>保险合同审查</w:t>
      </w:r>
    </w:p>
    <w:p>
      <w:pPr>
        <w:pStyle w:val="ListBullet"/>
      </w:pPr>
      <w:r>
        <w:rPr>
          <w:rFonts w:ascii="宋体" w:hAnsi="宋体" w:eastAsia="宋体"/>
          <w:b w:val="0"/>
          <w:sz w:val="24"/>
        </w:rPr>
        <w:t>理赔审查</w:t>
      </w:r>
    </w:p>
    <w:p>
      <w:pPr>
        <w:pStyle w:val="ListBullet"/>
      </w:pPr>
      <w:r>
        <w:rPr>
          <w:rFonts w:ascii="宋体" w:hAnsi="宋体" w:eastAsia="宋体"/>
          <w:b w:val="0"/>
          <w:sz w:val="24"/>
        </w:rPr>
        <w:t>保险条款修订</w:t>
      </w:r>
    </w:p>
    <w:p>
      <w:pPr>
        <w:pStyle w:val="ListBullet"/>
      </w:pPr>
      <w:r>
        <w:rPr>
          <w:rFonts w:ascii="宋体" w:hAnsi="宋体" w:eastAsia="宋体"/>
          <w:b w:val="0"/>
          <w:sz w:val="24"/>
        </w:rPr>
        <w:t>理赔规则制定</w:t>
      </w:r>
    </w:p>
    <w:p>
      <w:pPr>
        <w:pStyle w:val="ListBullet"/>
      </w:pPr>
      <w:r>
        <w:rPr>
          <w:rFonts w:ascii="宋体" w:hAnsi="宋体" w:eastAsia="宋体"/>
          <w:b w:val="0"/>
          <w:sz w:val="24"/>
        </w:rPr>
        <w:t>团体标准制定</w:t>
      </w:r>
    </w:p>
    <w:p/>
    <w:p>
      <w:pPr>
        <w:pStyle w:val="Heading4"/>
      </w:pPr>
      <w:r>
        <w:rPr>
          <w:rFonts w:ascii="宋体" w:hAnsi="宋体" w:eastAsia="宋体"/>
          <w:b/>
          <w:color w:val="000000"/>
          <w:sz w:val="28"/>
        </w:rPr>
        <w:t>2.2.4 申办方专区</w:t>
      </w:r>
    </w:p>
    <w:p>
      <w:r>
        <w:rPr>
          <w:rFonts w:ascii="宋体" w:hAnsi="宋体" w:eastAsia="宋体"/>
          <w:b/>
          <w:sz w:val="24"/>
        </w:rPr>
        <w:t>内容需求：</w:t>
      </w:r>
    </w:p>
    <w:p>
      <w:pPr>
        <w:pStyle w:val="ListNumber"/>
      </w:pPr>
      <w:r>
        <w:rPr>
          <w:rFonts w:ascii="宋体" w:hAnsi="宋体" w:eastAsia="宋体"/>
          <w:b w:val="0"/>
          <w:sz w:val="24"/>
        </w:rPr>
        <w:t>风险管理体系</w:t>
      </w:r>
    </w:p>
    <w:p>
      <w:pPr>
        <w:pStyle w:val="ListBullet"/>
      </w:pPr>
      <w:r>
        <w:rPr>
          <w:rFonts w:ascii="宋体" w:hAnsi="宋体" w:eastAsia="宋体"/>
          <w:b w:val="0"/>
          <w:sz w:val="24"/>
        </w:rPr>
        <w:t>风险识别：临床试验风险分类</w:t>
      </w:r>
    </w:p>
    <w:p>
      <w:pPr>
        <w:pStyle w:val="ListBullet"/>
      </w:pPr>
      <w:r>
        <w:rPr>
          <w:rFonts w:ascii="宋体" w:hAnsi="宋体" w:eastAsia="宋体"/>
          <w:b w:val="0"/>
          <w:sz w:val="24"/>
        </w:rPr>
        <w:t>从药物角度：AE、ADR、SADR、SUSAR</w:t>
      </w:r>
    </w:p>
    <w:p>
      <w:pPr>
        <w:pStyle w:val="ListBullet"/>
      </w:pPr>
      <w:r>
        <w:rPr>
          <w:rFonts w:ascii="宋体" w:hAnsi="宋体" w:eastAsia="宋体"/>
          <w:b w:val="0"/>
          <w:sz w:val="24"/>
        </w:rPr>
        <w:t>从操作角度：方案合理性、操作合规性、医疗行为合理性、组织管理合理性</w:t>
      </w:r>
    </w:p>
    <w:p>
      <w:pPr>
        <w:pStyle w:val="ListBullet"/>
      </w:pPr>
      <w:r>
        <w:rPr>
          <w:rFonts w:ascii="宋体" w:hAnsi="宋体" w:eastAsia="宋体"/>
          <w:b w:val="0"/>
          <w:sz w:val="24"/>
        </w:rPr>
        <w:t>其他相关风险：行为原则、心理原因等</w:t>
      </w:r>
    </w:p>
    <w:p>
      <w:pPr>
        <w:pStyle w:val="ListBullet"/>
      </w:pPr>
      <w:r>
        <w:rPr>
          <w:rFonts w:ascii="宋体" w:hAnsi="宋体" w:eastAsia="宋体"/>
          <w:b w:val="0"/>
          <w:sz w:val="24"/>
        </w:rPr>
        <w:t>风险评估：风险评估方法和工具</w:t>
      </w:r>
    </w:p>
    <w:p>
      <w:pPr>
        <w:pStyle w:val="ListBullet"/>
      </w:pPr>
      <w:r>
        <w:rPr>
          <w:rFonts w:ascii="宋体" w:hAnsi="宋体" w:eastAsia="宋体"/>
          <w:b w:val="0"/>
          <w:sz w:val="24"/>
        </w:rPr>
        <w:t>风险管理策略</w:t>
      </w:r>
    </w:p>
    <w:p>
      <w:pPr>
        <w:pStyle w:val="ListBullet"/>
      </w:pPr>
      <w:r>
        <w:rPr>
          <w:rFonts w:ascii="宋体" w:hAnsi="宋体" w:eastAsia="宋体"/>
          <w:b w:val="0"/>
          <w:sz w:val="24"/>
        </w:rPr>
        <w:t>自留策略</w:t>
      </w:r>
    </w:p>
    <w:p>
      <w:pPr>
        <w:pStyle w:val="ListBullet"/>
      </w:pPr>
      <w:r>
        <w:rPr>
          <w:rFonts w:ascii="宋体" w:hAnsi="宋体" w:eastAsia="宋体"/>
          <w:b w:val="0"/>
          <w:sz w:val="24"/>
        </w:rPr>
        <w:t>保险策略</w:t>
      </w:r>
    </w:p>
    <w:p>
      <w:pPr>
        <w:pStyle w:val="ListBullet"/>
      </w:pPr>
      <w:r>
        <w:rPr>
          <w:rFonts w:ascii="宋体" w:hAnsi="宋体" w:eastAsia="宋体"/>
          <w:b w:val="0"/>
          <w:sz w:val="24"/>
        </w:rPr>
        <w:t>合同策略</w:t>
      </w:r>
    </w:p>
    <w:p/>
    <w:p>
      <w:pPr>
        <w:pStyle w:val="ListNumber"/>
      </w:pPr>
      <w:r>
        <w:rPr>
          <w:rFonts w:ascii="宋体" w:hAnsi="宋体" w:eastAsia="宋体"/>
          <w:b w:val="0"/>
          <w:sz w:val="24"/>
        </w:rPr>
        <w:t>RMO模式解决方案</w:t>
      </w:r>
    </w:p>
    <w:p>
      <w:pPr>
        <w:pStyle w:val="ListBullet"/>
      </w:pPr>
      <w:r>
        <w:rPr>
          <w:rFonts w:ascii="宋体" w:hAnsi="宋体" w:eastAsia="宋体"/>
          <w:b w:val="0"/>
          <w:sz w:val="24"/>
        </w:rPr>
        <w:t>首要风险解决方案（保险）</w:t>
      </w:r>
    </w:p>
    <w:p>
      <w:pPr>
        <w:pStyle w:val="ListBullet"/>
      </w:pPr>
      <w:r>
        <w:rPr>
          <w:rFonts w:ascii="宋体" w:hAnsi="宋体" w:eastAsia="宋体"/>
          <w:b w:val="0"/>
          <w:sz w:val="24"/>
        </w:rPr>
        <w:t>次要风险解决方案（RMO模式）</w:t>
      </w:r>
    </w:p>
    <w:p>
      <w:pPr>
        <w:pStyle w:val="ListBullet"/>
      </w:pPr>
      <w:r>
        <w:rPr>
          <w:rFonts w:ascii="宋体" w:hAnsi="宋体" w:eastAsia="宋体"/>
          <w:b w:val="0"/>
          <w:sz w:val="24"/>
        </w:rPr>
        <w:t>服务流程说明</w:t>
      </w:r>
    </w:p>
    <w:p>
      <w:pPr>
        <w:pStyle w:val="ListBullet"/>
      </w:pPr>
      <w:r>
        <w:rPr>
          <w:rFonts w:ascii="宋体" w:hAnsi="宋体" w:eastAsia="宋体"/>
          <w:b w:val="0"/>
          <w:sz w:val="24"/>
        </w:rPr>
        <w:t>费用说明</w:t>
      </w:r>
    </w:p>
    <w:p>
      <w:pPr>
        <w:pStyle w:val="ListBullet"/>
      </w:pPr>
      <w:r>
        <w:rPr>
          <w:rFonts w:ascii="宋体" w:hAnsi="宋体" w:eastAsia="宋体"/>
          <w:b w:val="0"/>
          <w:sz w:val="24"/>
        </w:rPr>
        <w:t>案例展示</w:t>
      </w:r>
    </w:p>
    <w:p/>
    <w:p>
      <w:pPr>
        <w:pStyle w:val="ListNumber"/>
      </w:pPr>
      <w:r>
        <w:rPr>
          <w:rFonts w:ascii="宋体" w:hAnsi="宋体" w:eastAsia="宋体"/>
          <w:b w:val="0"/>
          <w:sz w:val="24"/>
        </w:rPr>
        <w:t>操作流程</w:t>
      </w:r>
    </w:p>
    <w:p>
      <w:pPr>
        <w:pStyle w:val="ListBullet"/>
      </w:pPr>
      <w:r>
        <w:rPr>
          <w:rFonts w:ascii="宋体" w:hAnsi="宋体" w:eastAsia="宋体"/>
          <w:b w:val="0"/>
          <w:sz w:val="24"/>
        </w:rPr>
        <w:t>项目风险评估流程</w:t>
      </w:r>
    </w:p>
    <w:p>
      <w:pPr>
        <w:pStyle w:val="ListBullet"/>
      </w:pPr>
      <w:r>
        <w:rPr>
          <w:rFonts w:ascii="宋体" w:hAnsi="宋体" w:eastAsia="宋体"/>
          <w:b w:val="0"/>
          <w:sz w:val="24"/>
        </w:rPr>
        <w:t>投保流程</w:t>
      </w:r>
    </w:p>
    <w:p>
      <w:pPr>
        <w:pStyle w:val="ListBullet"/>
      </w:pPr>
      <w:r>
        <w:rPr>
          <w:rFonts w:ascii="宋体" w:hAnsi="宋体" w:eastAsia="宋体"/>
          <w:b w:val="0"/>
          <w:sz w:val="24"/>
        </w:rPr>
        <w:t>专项风险管理基金设立流程</w:t>
      </w:r>
    </w:p>
    <w:p>
      <w:pPr>
        <w:pStyle w:val="ListBullet"/>
      </w:pPr>
      <w:r>
        <w:rPr>
          <w:rFonts w:ascii="宋体" w:hAnsi="宋体" w:eastAsia="宋体"/>
          <w:b w:val="0"/>
          <w:sz w:val="24"/>
        </w:rPr>
        <w:t>理赔/补偿流程</w:t>
      </w:r>
    </w:p>
    <w:p/>
    <w:p>
      <w:pPr>
        <w:pStyle w:val="Heading4"/>
      </w:pPr>
      <w:r>
        <w:rPr>
          <w:rFonts w:ascii="宋体" w:hAnsi="宋体" w:eastAsia="宋体"/>
          <w:b/>
          <w:color w:val="000000"/>
          <w:sz w:val="28"/>
        </w:rPr>
        <w:t>2.2.5 试验机构专区</w:t>
      </w:r>
    </w:p>
    <w:p>
      <w:r>
        <w:rPr>
          <w:rFonts w:ascii="宋体" w:hAnsi="宋体" w:eastAsia="宋体"/>
          <w:b/>
          <w:sz w:val="24"/>
        </w:rPr>
        <w:t>内容需求：</w:t>
      </w:r>
    </w:p>
    <w:p>
      <w:pPr>
        <w:pStyle w:val="ListNumber"/>
      </w:pPr>
      <w:r>
        <w:rPr>
          <w:rFonts w:ascii="宋体" w:hAnsi="宋体" w:eastAsia="宋体"/>
          <w:b w:val="0"/>
          <w:sz w:val="24"/>
        </w:rPr>
        <w:t>试验机构关注要点</w:t>
      </w:r>
    </w:p>
    <w:p>
      <w:pPr>
        <w:pStyle w:val="ListBullet"/>
      </w:pPr>
      <w:r>
        <w:rPr>
          <w:rFonts w:ascii="宋体" w:hAnsi="宋体" w:eastAsia="宋体"/>
          <w:b w:val="0"/>
          <w:sz w:val="24"/>
        </w:rPr>
        <w:t>与受试者安全相关的内容</w:t>
      </w:r>
    </w:p>
    <w:p>
      <w:pPr>
        <w:pStyle w:val="ListBullet"/>
      </w:pPr>
      <w:r>
        <w:rPr>
          <w:rFonts w:ascii="宋体" w:hAnsi="宋体" w:eastAsia="宋体"/>
          <w:b w:val="0"/>
          <w:sz w:val="24"/>
        </w:rPr>
        <w:t>机构职责说明</w:t>
      </w:r>
    </w:p>
    <w:p>
      <w:pPr>
        <w:pStyle w:val="ListBullet"/>
      </w:pPr>
      <w:r>
        <w:rPr>
          <w:rFonts w:ascii="宋体" w:hAnsi="宋体" w:eastAsia="宋体"/>
          <w:b w:val="0"/>
          <w:sz w:val="24"/>
        </w:rPr>
        <w:t>RMO模式如何支持机构</w:t>
      </w:r>
    </w:p>
    <w:p/>
    <w:p>
      <w:pPr>
        <w:pStyle w:val="ListNumber"/>
      </w:pPr>
      <w:r>
        <w:rPr>
          <w:rFonts w:ascii="宋体" w:hAnsi="宋体" w:eastAsia="宋体"/>
          <w:b w:val="0"/>
          <w:sz w:val="24"/>
        </w:rPr>
        <w:t>研究者支持</w:t>
      </w:r>
    </w:p>
    <w:p>
      <w:pPr>
        <w:pStyle w:val="ListBullet"/>
      </w:pPr>
      <w:r>
        <w:rPr>
          <w:rFonts w:ascii="宋体" w:hAnsi="宋体" w:eastAsia="宋体"/>
          <w:b w:val="0"/>
          <w:sz w:val="24"/>
        </w:rPr>
        <w:t>研究者职责</w:t>
      </w:r>
    </w:p>
    <w:p>
      <w:pPr>
        <w:pStyle w:val="ListBullet"/>
      </w:pPr>
      <w:r>
        <w:rPr>
          <w:rFonts w:ascii="宋体" w:hAnsi="宋体" w:eastAsia="宋体"/>
          <w:b w:val="0"/>
          <w:sz w:val="24"/>
        </w:rPr>
        <w:t>RMO模式如何协助研究者</w:t>
      </w:r>
    </w:p>
    <w:p>
      <w:pPr>
        <w:pStyle w:val="ListBullet"/>
      </w:pPr>
      <w:r>
        <w:rPr>
          <w:rFonts w:ascii="宋体" w:hAnsi="宋体" w:eastAsia="宋体"/>
          <w:b w:val="0"/>
          <w:sz w:val="24"/>
        </w:rPr>
        <w:t>风险识别与报告支持</w:t>
      </w:r>
    </w:p>
    <w:p/>
    <w:p>
      <w:pPr>
        <w:pStyle w:val="ListNumber"/>
      </w:pPr>
      <w:r>
        <w:rPr>
          <w:rFonts w:ascii="宋体" w:hAnsi="宋体" w:eastAsia="宋体"/>
          <w:b w:val="0"/>
          <w:sz w:val="24"/>
        </w:rPr>
        <w:t>伦理委员会支持</w:t>
      </w:r>
    </w:p>
    <w:p>
      <w:pPr>
        <w:pStyle w:val="ListBullet"/>
      </w:pPr>
      <w:r>
        <w:rPr>
          <w:rFonts w:ascii="宋体" w:hAnsi="宋体" w:eastAsia="宋体"/>
          <w:b w:val="0"/>
          <w:sz w:val="24"/>
        </w:rPr>
        <w:t>伦理审查相关支持</w:t>
      </w:r>
    </w:p>
    <w:p>
      <w:pPr>
        <w:pStyle w:val="ListBullet"/>
      </w:pPr>
      <w:r>
        <w:rPr>
          <w:rFonts w:ascii="宋体" w:hAnsi="宋体" w:eastAsia="宋体"/>
          <w:b w:val="0"/>
          <w:sz w:val="24"/>
        </w:rPr>
        <w:t>风险保障说明</w:t>
      </w:r>
    </w:p>
    <w:p/>
    <w:p>
      <w:pPr>
        <w:pStyle w:val="Heading4"/>
      </w:pPr>
      <w:r>
        <w:rPr>
          <w:rFonts w:ascii="宋体" w:hAnsi="宋体" w:eastAsia="宋体"/>
          <w:b/>
          <w:color w:val="000000"/>
          <w:sz w:val="28"/>
        </w:rPr>
        <w:t>2.2.6 受试者专区</w:t>
      </w:r>
    </w:p>
    <w:p>
      <w:r>
        <w:rPr>
          <w:rFonts w:ascii="宋体" w:hAnsi="宋体" w:eastAsia="宋体"/>
          <w:b/>
          <w:sz w:val="24"/>
        </w:rPr>
        <w:t>内容需求：</w:t>
      </w:r>
    </w:p>
    <w:p>
      <w:pPr>
        <w:pStyle w:val="ListNumber"/>
      </w:pPr>
      <w:r>
        <w:rPr>
          <w:rFonts w:ascii="宋体" w:hAnsi="宋体" w:eastAsia="宋体"/>
          <w:b w:val="0"/>
          <w:sz w:val="24"/>
        </w:rPr>
        <w:t>临床试验介绍</w:t>
      </w:r>
    </w:p>
    <w:p>
      <w:pPr>
        <w:pStyle w:val="ListBullet"/>
      </w:pPr>
      <w:r>
        <w:rPr>
          <w:rFonts w:ascii="宋体" w:hAnsi="宋体" w:eastAsia="宋体"/>
          <w:b w:val="0"/>
          <w:sz w:val="24"/>
        </w:rPr>
        <w:t>什么是临床试验</w:t>
      </w:r>
    </w:p>
    <w:p>
      <w:pPr>
        <w:pStyle w:val="ListBullet"/>
      </w:pPr>
      <w:r>
        <w:rPr>
          <w:rFonts w:ascii="宋体" w:hAnsi="宋体" w:eastAsia="宋体"/>
          <w:b w:val="0"/>
          <w:sz w:val="24"/>
        </w:rPr>
        <w:t>参与临床试验的意义</w:t>
      </w:r>
    </w:p>
    <w:p>
      <w:pPr>
        <w:pStyle w:val="ListBullet"/>
      </w:pPr>
      <w:r>
        <w:rPr>
          <w:rFonts w:ascii="宋体" w:hAnsi="宋体" w:eastAsia="宋体"/>
          <w:b w:val="0"/>
          <w:sz w:val="24"/>
        </w:rPr>
        <w:t>基本流程</w:t>
      </w:r>
    </w:p>
    <w:p/>
    <w:p>
      <w:pPr>
        <w:pStyle w:val="ListNumber"/>
      </w:pPr>
      <w:r>
        <w:rPr>
          <w:rFonts w:ascii="宋体" w:hAnsi="宋体" w:eastAsia="宋体"/>
          <w:b w:val="0"/>
          <w:sz w:val="24"/>
        </w:rPr>
        <w:t>受试者权益</w:t>
      </w:r>
    </w:p>
    <w:p>
      <w:pPr>
        <w:pStyle w:val="ListBullet"/>
      </w:pPr>
      <w:r>
        <w:rPr>
          <w:rFonts w:ascii="宋体" w:hAnsi="宋体" w:eastAsia="宋体"/>
          <w:b w:val="0"/>
          <w:sz w:val="24"/>
        </w:rPr>
        <w:t>知情同意权</w:t>
      </w:r>
    </w:p>
    <w:p>
      <w:pPr>
        <w:pStyle w:val="ListBullet"/>
      </w:pPr>
      <w:r>
        <w:rPr>
          <w:rFonts w:ascii="宋体" w:hAnsi="宋体" w:eastAsia="宋体"/>
          <w:b w:val="0"/>
          <w:sz w:val="24"/>
        </w:rPr>
        <w:t>安全保障权</w:t>
      </w:r>
    </w:p>
    <w:p>
      <w:pPr>
        <w:pStyle w:val="ListBullet"/>
      </w:pPr>
      <w:r>
        <w:rPr>
          <w:rFonts w:ascii="宋体" w:hAnsi="宋体" w:eastAsia="宋体"/>
          <w:b w:val="0"/>
          <w:sz w:val="24"/>
        </w:rPr>
        <w:t>损害救济权</w:t>
      </w:r>
    </w:p>
    <w:p>
      <w:pPr>
        <w:pStyle w:val="ListBullet"/>
      </w:pPr>
      <w:r>
        <w:rPr>
          <w:rFonts w:ascii="宋体" w:hAnsi="宋体" w:eastAsia="宋体"/>
          <w:b w:val="0"/>
          <w:sz w:val="24"/>
        </w:rPr>
        <w:t>其他权益</w:t>
      </w:r>
    </w:p>
    <w:p/>
    <w:p>
      <w:pPr>
        <w:pStyle w:val="ListNumber"/>
      </w:pPr>
      <w:r>
        <w:rPr>
          <w:rFonts w:ascii="宋体" w:hAnsi="宋体" w:eastAsia="宋体"/>
          <w:b w:val="0"/>
          <w:sz w:val="24"/>
        </w:rPr>
        <w:t>损害救济</w:t>
      </w:r>
    </w:p>
    <w:p>
      <w:pPr>
        <w:pStyle w:val="ListBullet"/>
      </w:pPr>
      <w:r>
        <w:rPr>
          <w:rFonts w:ascii="宋体" w:hAnsi="宋体" w:eastAsia="宋体"/>
          <w:b w:val="0"/>
          <w:sz w:val="24"/>
        </w:rPr>
        <w:t>赔偿/补偿原则</w:t>
      </w:r>
    </w:p>
    <w:p>
      <w:pPr>
        <w:pStyle w:val="ListBullet"/>
      </w:pPr>
      <w:r>
        <w:rPr>
          <w:rFonts w:ascii="宋体" w:hAnsi="宋体" w:eastAsia="宋体"/>
          <w:b w:val="0"/>
          <w:sz w:val="24"/>
        </w:rPr>
        <w:t>最大范围医疗报销原则（100%报销，高频、时效、便捷、最好无垫付）</w:t>
      </w:r>
    </w:p>
    <w:p>
      <w:pPr>
        <w:pStyle w:val="ListBullet"/>
      </w:pPr>
      <w:r>
        <w:rPr>
          <w:rFonts w:ascii="宋体" w:hAnsi="宋体" w:eastAsia="宋体"/>
          <w:b w:val="0"/>
          <w:sz w:val="24"/>
        </w:rPr>
        <w:t>身故、伤残赔偿金（低频）</w:t>
      </w:r>
    </w:p>
    <w:p>
      <w:pPr>
        <w:pStyle w:val="ListBullet"/>
      </w:pPr>
      <w:r>
        <w:rPr>
          <w:rFonts w:ascii="宋体" w:hAnsi="宋体" w:eastAsia="宋体"/>
          <w:b w:val="0"/>
          <w:sz w:val="24"/>
        </w:rPr>
        <w:t>无过错责任补偿金（低频）</w:t>
      </w:r>
    </w:p>
    <w:p>
      <w:pPr>
        <w:pStyle w:val="ListBullet"/>
      </w:pPr>
      <w:r>
        <w:rPr>
          <w:rFonts w:ascii="宋体" w:hAnsi="宋体" w:eastAsia="宋体"/>
          <w:b w:val="0"/>
          <w:sz w:val="24"/>
        </w:rPr>
        <w:t>精算损失赔偿金（低频）</w:t>
      </w:r>
    </w:p>
    <w:p>
      <w:pPr>
        <w:pStyle w:val="ListBullet"/>
      </w:pPr>
      <w:r>
        <w:rPr>
          <w:rFonts w:ascii="宋体" w:hAnsi="宋体" w:eastAsia="宋体"/>
          <w:b w:val="0"/>
          <w:sz w:val="24"/>
        </w:rPr>
        <w:t>救济流程</w:t>
      </w:r>
    </w:p>
    <w:p>
      <w:pPr>
        <w:pStyle w:val="ListBullet"/>
      </w:pPr>
      <w:r>
        <w:rPr>
          <w:rFonts w:ascii="宋体" w:hAnsi="宋体" w:eastAsia="宋体"/>
          <w:b w:val="0"/>
          <w:sz w:val="24"/>
        </w:rPr>
        <w:t>联系方式</w:t>
      </w:r>
    </w:p>
    <w:p/>
    <w:p>
      <w:pPr>
        <w:pStyle w:val="Heading4"/>
      </w:pPr>
      <w:r>
        <w:rPr>
          <w:rFonts w:ascii="宋体" w:hAnsi="宋体" w:eastAsia="宋体"/>
          <w:b/>
          <w:color w:val="000000"/>
          <w:sz w:val="28"/>
        </w:rPr>
        <w:t>2.2.7 服务方专区</w:t>
      </w:r>
    </w:p>
    <w:p>
      <w:r>
        <w:rPr>
          <w:rFonts w:ascii="宋体" w:hAnsi="宋体" w:eastAsia="宋体"/>
          <w:b/>
          <w:sz w:val="24"/>
        </w:rPr>
        <w:t>内容需求：</w:t>
      </w:r>
    </w:p>
    <w:p>
      <w:pPr>
        <w:pStyle w:val="ListNumber"/>
      </w:pPr>
      <w:r>
        <w:rPr>
          <w:rFonts w:ascii="宋体" w:hAnsi="宋体" w:eastAsia="宋体"/>
          <w:b w:val="0"/>
          <w:sz w:val="24"/>
        </w:rPr>
        <w:t>CRO支持</w:t>
      </w:r>
    </w:p>
    <w:p>
      <w:pPr>
        <w:pStyle w:val="ListBullet"/>
      </w:pPr>
      <w:r>
        <w:rPr>
          <w:rFonts w:ascii="宋体" w:hAnsi="宋体" w:eastAsia="宋体"/>
          <w:b w:val="0"/>
          <w:sz w:val="24"/>
        </w:rPr>
        <w:t>RMO模式如何支持CRO</w:t>
      </w:r>
    </w:p>
    <w:p>
      <w:pPr>
        <w:pStyle w:val="ListBullet"/>
      </w:pPr>
      <w:r>
        <w:rPr>
          <w:rFonts w:ascii="宋体" w:hAnsi="宋体" w:eastAsia="宋体"/>
          <w:b w:val="0"/>
          <w:sz w:val="24"/>
        </w:rPr>
        <w:t>合作方式</w:t>
      </w:r>
    </w:p>
    <w:p/>
    <w:p>
      <w:pPr>
        <w:pStyle w:val="ListNumber"/>
      </w:pPr>
      <w:r>
        <w:rPr>
          <w:rFonts w:ascii="宋体" w:hAnsi="宋体" w:eastAsia="宋体"/>
          <w:b w:val="0"/>
          <w:sz w:val="24"/>
        </w:rPr>
        <w:t>CDMO支持</w:t>
      </w:r>
    </w:p>
    <w:p>
      <w:pPr>
        <w:pStyle w:val="ListBullet"/>
      </w:pPr>
      <w:r>
        <w:rPr>
          <w:rFonts w:ascii="宋体" w:hAnsi="宋体" w:eastAsia="宋体"/>
          <w:b w:val="0"/>
          <w:sz w:val="24"/>
        </w:rPr>
        <w:t>RMO模式如何支持CDMO</w:t>
      </w:r>
    </w:p>
    <w:p/>
    <w:p>
      <w:pPr>
        <w:pStyle w:val="ListNumber"/>
      </w:pPr>
      <w:r>
        <w:rPr>
          <w:rFonts w:ascii="宋体" w:hAnsi="宋体" w:eastAsia="宋体"/>
          <w:b w:val="0"/>
          <w:sz w:val="24"/>
        </w:rPr>
        <w:t>SMO支持</w:t>
      </w:r>
    </w:p>
    <w:p>
      <w:pPr>
        <w:pStyle w:val="ListBullet"/>
      </w:pPr>
      <w:r>
        <w:rPr>
          <w:rFonts w:ascii="宋体" w:hAnsi="宋体" w:eastAsia="宋体"/>
          <w:b w:val="0"/>
          <w:sz w:val="24"/>
        </w:rPr>
        <w:t>RMO模式如何支持SMO</w:t>
      </w:r>
    </w:p>
    <w:p/>
    <w:p>
      <w:r>
        <w:rPr>
          <w:rFonts w:ascii="宋体" w:hAnsi="宋体" w:eastAsia="宋体"/>
          <w:b w:val="0"/>
          <w:sz w:val="24"/>
        </w:rPr>
        <w:t>---</w:t>
      </w:r>
    </w:p>
    <w:p/>
    <w:p>
      <w:pPr>
        <w:pStyle w:val="Heading2"/>
      </w:pPr>
      <w:r>
        <w:rPr>
          <w:rFonts w:ascii="宋体" w:hAnsi="宋体" w:eastAsia="宋体"/>
          <w:b/>
          <w:color w:val="000000"/>
          <w:sz w:val="36"/>
        </w:rPr>
        <w:t>三、核心业务逻辑说明</w:t>
      </w:r>
    </w:p>
    <w:p/>
    <w:p>
      <w:pPr>
        <w:pStyle w:val="Heading3"/>
      </w:pPr>
      <w:r>
        <w:rPr>
          <w:rFonts w:ascii="宋体" w:hAnsi="宋体" w:eastAsia="宋体"/>
          <w:b/>
          <w:color w:val="000000"/>
          <w:sz w:val="32"/>
        </w:rPr>
        <w:t>3.1 风险管理逻辑模型</w:t>
      </w:r>
    </w:p>
    <w:p/>
    <w:p>
      <w:pPr>
        <w:pStyle w:val="Heading4"/>
      </w:pPr>
      <w:r>
        <w:rPr>
          <w:rFonts w:ascii="宋体" w:hAnsi="宋体" w:eastAsia="宋体"/>
          <w:b/>
          <w:color w:val="000000"/>
          <w:sz w:val="28"/>
        </w:rPr>
        <w:t>3.1.1 风险分类</w:t>
      </w:r>
    </w:p>
    <w:p>
      <w:r>
        <w:rPr>
          <w:rFonts w:ascii="宋体" w:hAnsi="宋体" w:eastAsia="宋体"/>
          <w:b/>
          <w:sz w:val="24"/>
        </w:rPr>
        <w:t>从临床试验药物角度：</w:t>
      </w:r>
    </w:p>
    <w:p>
      <w:pPr>
        <w:pStyle w:val="ListNumber"/>
      </w:pPr>
      <w:r>
        <w:rPr>
          <w:rFonts w:ascii="宋体" w:hAnsi="宋体" w:eastAsia="宋体"/>
          <w:b w:val="0"/>
          <w:sz w:val="24"/>
        </w:rPr>
        <w:t>AE（不良事件）：为证明与药物相关</w:t>
      </w:r>
    </w:p>
    <w:p>
      <w:pPr>
        <w:pStyle w:val="ListNumber"/>
      </w:pPr>
      <w:r>
        <w:rPr>
          <w:rFonts w:ascii="宋体" w:hAnsi="宋体" w:eastAsia="宋体"/>
          <w:b w:val="0"/>
          <w:sz w:val="24"/>
        </w:rPr>
        <w:t>ADR（药物不良反应）：已证明与药物相关</w:t>
      </w:r>
    </w:p>
    <w:p>
      <w:pPr>
        <w:pStyle w:val="ListBullet"/>
      </w:pPr>
      <w:r>
        <w:rPr>
          <w:rFonts w:ascii="宋体" w:hAnsi="宋体" w:eastAsia="宋体"/>
          <w:b w:val="0"/>
          <w:sz w:val="24"/>
        </w:rPr>
        <w:t>SADR（严重药物不良反应）：严重的ADR</w:t>
      </w:r>
    </w:p>
    <w:p>
      <w:pPr>
        <w:pStyle w:val="ListBullet"/>
      </w:pPr>
      <w:r>
        <w:rPr>
          <w:rFonts w:ascii="宋体" w:hAnsi="宋体" w:eastAsia="宋体"/>
          <w:b w:val="0"/>
          <w:sz w:val="24"/>
        </w:rPr>
        <w:t>ADR写入IB的RSI（参考安全信息）</w:t>
      </w:r>
    </w:p>
    <w:p>
      <w:pPr>
        <w:pStyle w:val="ListNumber"/>
      </w:pPr>
      <w:r>
        <w:rPr>
          <w:rFonts w:ascii="宋体" w:hAnsi="宋体" w:eastAsia="宋体"/>
          <w:b w:val="0"/>
          <w:sz w:val="24"/>
        </w:rPr>
        <w:t>SUSAR（可疑且非预期的严重不良反应）：</w:t>
      </w:r>
    </w:p>
    <w:p>
      <w:pPr>
        <w:pStyle w:val="ListBullet"/>
      </w:pPr>
      <w:r>
        <w:rPr>
          <w:rFonts w:ascii="宋体" w:hAnsi="宋体" w:eastAsia="宋体"/>
          <w:b w:val="0"/>
          <w:sz w:val="24"/>
        </w:rPr>
        <w:t>新发现的严重不良反应，需及时报告</w:t>
      </w:r>
    </w:p>
    <w:p>
      <w:pPr>
        <w:pStyle w:val="ListBullet"/>
      </w:pPr>
      <w:r>
        <w:rPr>
          <w:rFonts w:ascii="宋体" w:hAnsi="宋体" w:eastAsia="宋体"/>
          <w:b w:val="0"/>
          <w:sz w:val="24"/>
        </w:rPr>
        <w:t>未写入RSI的严重不良反应属于SUSAR</w:t>
      </w:r>
    </w:p>
    <w:p/>
    <w:p>
      <w:r>
        <w:rPr>
          <w:rFonts w:ascii="宋体" w:hAnsi="宋体" w:eastAsia="宋体"/>
          <w:b/>
          <w:sz w:val="24"/>
        </w:rPr>
        <w:t>从临床试验操作角度：</w:t>
      </w:r>
    </w:p>
    <w:p>
      <w:pPr>
        <w:pStyle w:val="ListNumber"/>
      </w:pPr>
      <w:r>
        <w:rPr>
          <w:rFonts w:ascii="宋体" w:hAnsi="宋体" w:eastAsia="宋体"/>
          <w:b w:val="0"/>
          <w:sz w:val="24"/>
        </w:rPr>
        <w:t>临床试验方案合理性</w:t>
      </w:r>
    </w:p>
    <w:p>
      <w:pPr>
        <w:pStyle w:val="ListNumber"/>
      </w:pPr>
      <w:r>
        <w:rPr>
          <w:rFonts w:ascii="宋体" w:hAnsi="宋体" w:eastAsia="宋体"/>
          <w:b w:val="0"/>
          <w:sz w:val="24"/>
        </w:rPr>
        <w:t>临床试验方案操作是否符合规定</w:t>
      </w:r>
    </w:p>
    <w:p>
      <w:pPr>
        <w:pStyle w:val="ListNumber"/>
      </w:pPr>
      <w:r>
        <w:rPr>
          <w:rFonts w:ascii="宋体" w:hAnsi="宋体" w:eastAsia="宋体"/>
          <w:b w:val="0"/>
          <w:sz w:val="24"/>
        </w:rPr>
        <w:t>医疗行为是否合理</w:t>
      </w:r>
    </w:p>
    <w:p>
      <w:pPr>
        <w:pStyle w:val="ListNumber"/>
      </w:pPr>
      <w:r>
        <w:rPr>
          <w:rFonts w:ascii="宋体" w:hAnsi="宋体" w:eastAsia="宋体"/>
          <w:b w:val="0"/>
          <w:sz w:val="24"/>
        </w:rPr>
        <w:t>临床试验组织管理是否合理</w:t>
      </w:r>
    </w:p>
    <w:p/>
    <w:p>
      <w:r>
        <w:rPr>
          <w:rFonts w:ascii="宋体" w:hAnsi="宋体" w:eastAsia="宋体"/>
          <w:b/>
          <w:sz w:val="24"/>
        </w:rPr>
        <w:t>其他相关风险：</w:t>
      </w:r>
    </w:p>
    <w:p>
      <w:pPr>
        <w:pStyle w:val="ListNumber"/>
      </w:pPr>
      <w:r>
        <w:rPr>
          <w:rFonts w:ascii="宋体" w:hAnsi="宋体" w:eastAsia="宋体"/>
          <w:b w:val="0"/>
          <w:sz w:val="24"/>
        </w:rPr>
        <w:t>行为原则</w:t>
      </w:r>
    </w:p>
    <w:p>
      <w:pPr>
        <w:pStyle w:val="ListNumber"/>
      </w:pPr>
      <w:r>
        <w:rPr>
          <w:rFonts w:ascii="宋体" w:hAnsi="宋体" w:eastAsia="宋体"/>
          <w:b w:val="0"/>
          <w:sz w:val="24"/>
        </w:rPr>
        <w:t>心理原因</w:t>
      </w:r>
    </w:p>
    <w:p>
      <w:pPr>
        <w:pStyle w:val="ListNumber"/>
      </w:pPr>
      <w:r>
        <w:rPr>
          <w:rFonts w:ascii="宋体" w:hAnsi="宋体" w:eastAsia="宋体"/>
          <w:b w:val="0"/>
          <w:sz w:val="24"/>
        </w:rPr>
        <w:t>其他</w:t>
      </w:r>
    </w:p>
    <w:p/>
    <w:p>
      <w:pPr>
        <w:pStyle w:val="Heading4"/>
      </w:pPr>
      <w:r>
        <w:rPr>
          <w:rFonts w:ascii="宋体" w:hAnsi="宋体" w:eastAsia="宋体"/>
          <w:b/>
          <w:color w:val="000000"/>
          <w:sz w:val="28"/>
        </w:rPr>
        <w:t>3.1.2 风险与保险匹配模型</w:t>
      </w:r>
    </w:p>
    <w:p/>
    <w:p>
      <w:r>
        <w:rPr>
          <w:rFonts w:ascii="宋体" w:hAnsi="宋体" w:eastAsia="宋体"/>
          <w:b/>
          <w:sz w:val="24"/>
        </w:rPr>
        <w:t>首要风险：</w:t>
      </w:r>
    </w:p>
    <w:p>
      <w:pPr>
        <w:pStyle w:val="ListBullet"/>
      </w:pPr>
      <w:r>
        <w:rPr>
          <w:rFonts w:ascii="宋体" w:hAnsi="宋体" w:eastAsia="宋体"/>
          <w:b w:val="0"/>
          <w:sz w:val="24"/>
        </w:rPr>
        <w:t>SUSAR（影响试验走向）</w:t>
      </w:r>
    </w:p>
    <w:p>
      <w:pPr>
        <w:pStyle w:val="ListBullet"/>
      </w:pPr>
      <w:r>
        <w:rPr>
          <w:rFonts w:ascii="宋体" w:hAnsi="宋体" w:eastAsia="宋体"/>
          <w:b w:val="0"/>
          <w:sz w:val="24"/>
        </w:rPr>
        <w:t>SAE（经济成本、影响试验进展）</w:t>
      </w:r>
    </w:p>
    <w:p>
      <w:pPr>
        <w:pStyle w:val="ListBullet"/>
      </w:pPr>
      <w:r>
        <w:rPr>
          <w:rFonts w:ascii="宋体" w:hAnsi="宋体" w:eastAsia="宋体"/>
          <w:b w:val="0"/>
          <w:sz w:val="24"/>
        </w:rPr>
        <w:t>非医疗类恶性事件（影响试验进展）</w:t>
      </w:r>
    </w:p>
    <w:p>
      <w:pPr>
        <w:pStyle w:val="ListBullet"/>
      </w:pPr>
      <w:r>
        <w:rPr>
          <w:rFonts w:ascii="宋体" w:hAnsi="宋体" w:eastAsia="宋体"/>
          <w:b w:val="0"/>
          <w:sz w:val="24"/>
        </w:rPr>
        <w:t>特点：投保人与保险人意愿一致，通过高杠杆方式保险解决</w:t>
      </w:r>
    </w:p>
    <w:p/>
    <w:p>
      <w:r>
        <w:rPr>
          <w:rFonts w:ascii="宋体" w:hAnsi="宋体" w:eastAsia="宋体"/>
          <w:b/>
          <w:sz w:val="24"/>
        </w:rPr>
        <w:t>次要风险：</w:t>
      </w:r>
    </w:p>
    <w:p>
      <w:pPr>
        <w:pStyle w:val="ListBullet"/>
      </w:pPr>
      <w:r>
        <w:rPr>
          <w:rFonts w:ascii="宋体" w:hAnsi="宋体" w:eastAsia="宋体"/>
          <w:b w:val="0"/>
          <w:sz w:val="24"/>
        </w:rPr>
        <w:t>AE与试验相关风险</w:t>
      </w:r>
    </w:p>
    <w:p>
      <w:pPr>
        <w:pStyle w:val="ListBullet"/>
      </w:pPr>
      <w:r>
        <w:rPr>
          <w:rFonts w:ascii="宋体" w:hAnsi="宋体" w:eastAsia="宋体"/>
          <w:b w:val="0"/>
          <w:sz w:val="24"/>
        </w:rPr>
        <w:t>特点：存在道德风险，容易产生风险敞口</w:t>
      </w:r>
    </w:p>
    <w:p>
      <w:pPr>
        <w:pStyle w:val="ListBullet"/>
      </w:pPr>
      <w:r>
        <w:rPr>
          <w:rFonts w:ascii="宋体" w:hAnsi="宋体" w:eastAsia="宋体"/>
          <w:b w:val="0"/>
          <w:sz w:val="24"/>
        </w:rPr>
        <w:t>解决方案："自保"+"风险减量服务"+"外溢风险管理服务"</w:t>
      </w:r>
    </w:p>
    <w:p/>
    <w:p>
      <w:pPr>
        <w:pStyle w:val="Heading4"/>
      </w:pPr>
      <w:r>
        <w:rPr>
          <w:rFonts w:ascii="宋体" w:hAnsi="宋体" w:eastAsia="宋体"/>
          <w:b/>
          <w:color w:val="000000"/>
          <w:sz w:val="28"/>
        </w:rPr>
        <w:t>3.1.3 具体解决方式</w:t>
      </w:r>
    </w:p>
    <w:p/>
    <w:p>
      <w:r>
        <w:rPr>
          <w:rFonts w:ascii="宋体" w:hAnsi="宋体" w:eastAsia="宋体"/>
          <w:b/>
          <w:sz w:val="24"/>
        </w:rPr>
        <w:t>首要风险责任：</w:t>
      </w:r>
    </w:p>
    <w:p>
      <w:pPr>
        <w:pStyle w:val="ListBullet"/>
      </w:pPr>
      <w:r>
        <w:rPr>
          <w:rFonts w:ascii="宋体" w:hAnsi="宋体" w:eastAsia="宋体"/>
          <w:b w:val="0"/>
          <w:sz w:val="24"/>
        </w:rPr>
        <w:t>SUSAR、SAE造成的身故、残疾赔偿金</w:t>
      </w:r>
    </w:p>
    <w:p>
      <w:pPr>
        <w:pStyle w:val="ListBullet"/>
      </w:pPr>
      <w:r>
        <w:rPr>
          <w:rFonts w:ascii="宋体" w:hAnsi="宋体" w:eastAsia="宋体"/>
          <w:b w:val="0"/>
          <w:sz w:val="24"/>
        </w:rPr>
        <w:t>强调：责任明确、金额较大、证据链清晰</w:t>
      </w:r>
    </w:p>
    <w:p>
      <w:pPr>
        <w:pStyle w:val="ListBullet"/>
      </w:pPr>
      <w:r>
        <w:rPr>
          <w:rFonts w:ascii="宋体" w:hAnsi="宋体" w:eastAsia="宋体"/>
          <w:b w:val="0"/>
          <w:sz w:val="24"/>
        </w:rPr>
        <w:t>方式：保险进行风险转移</w:t>
      </w:r>
    </w:p>
    <w:p/>
    <w:p>
      <w:r>
        <w:rPr>
          <w:rFonts w:ascii="宋体" w:hAnsi="宋体" w:eastAsia="宋体"/>
          <w:b/>
          <w:sz w:val="24"/>
        </w:rPr>
        <w:t>次要风险责任：</w:t>
      </w:r>
    </w:p>
    <w:p>
      <w:pPr>
        <w:pStyle w:val="ListBullet"/>
      </w:pPr>
      <w:r>
        <w:rPr>
          <w:rFonts w:ascii="宋体" w:hAnsi="宋体" w:eastAsia="宋体"/>
          <w:b w:val="0"/>
          <w:sz w:val="24"/>
        </w:rPr>
        <w:t>非SUSAR所发生的医疗费用</w:t>
      </w:r>
    </w:p>
    <w:p>
      <w:pPr>
        <w:pStyle w:val="ListBullet"/>
      </w:pPr>
      <w:r>
        <w:rPr>
          <w:rFonts w:ascii="宋体" w:hAnsi="宋体" w:eastAsia="宋体"/>
          <w:b w:val="0"/>
          <w:sz w:val="24"/>
        </w:rPr>
        <w:t>方式：RMO模式解决</w:t>
      </w:r>
    </w:p>
    <w:p/>
    <w:p>
      <w:pPr>
        <w:pStyle w:val="Heading3"/>
      </w:pPr>
      <w:r>
        <w:rPr>
          <w:rFonts w:ascii="宋体" w:hAnsi="宋体" w:eastAsia="宋体"/>
          <w:b/>
          <w:color w:val="000000"/>
          <w:sz w:val="32"/>
        </w:rPr>
        <w:t>3.2 RMO模式详细说明</w:t>
      </w:r>
    </w:p>
    <w:p/>
    <w:p>
      <w:pPr>
        <w:pStyle w:val="Heading4"/>
      </w:pPr>
      <w:r>
        <w:rPr>
          <w:rFonts w:ascii="宋体" w:hAnsi="宋体" w:eastAsia="宋体"/>
          <w:b/>
          <w:color w:val="000000"/>
          <w:sz w:val="28"/>
        </w:rPr>
        <w:t>3.2.1 模式定位</w:t>
      </w:r>
    </w:p>
    <w:p>
      <w:r>
        <w:rPr>
          <w:rFonts w:ascii="宋体" w:hAnsi="宋体" w:eastAsia="宋体"/>
          <w:b w:val="0"/>
          <w:sz w:val="24"/>
        </w:rPr>
        <w:t>为投保人解决三件事：</w:t>
      </w:r>
    </w:p>
    <w:p>
      <w:pPr>
        <w:pStyle w:val="ListNumber"/>
      </w:pPr>
      <w:r>
        <w:rPr>
          <w:rFonts w:ascii="宋体" w:hAnsi="宋体" w:eastAsia="宋体"/>
          <w:b w:val="0"/>
          <w:sz w:val="24"/>
        </w:rPr>
        <w:t>"自保"代位执行</w:t>
      </w:r>
    </w:p>
    <w:p>
      <w:pPr>
        <w:pStyle w:val="ListNumber"/>
      </w:pPr>
      <w:r>
        <w:rPr>
          <w:rFonts w:ascii="宋体" w:hAnsi="宋体" w:eastAsia="宋体"/>
          <w:b w:val="0"/>
          <w:sz w:val="24"/>
        </w:rPr>
        <w:t>风险减量服务</w:t>
      </w:r>
    </w:p>
    <w:p>
      <w:pPr>
        <w:pStyle w:val="ListNumber"/>
      </w:pPr>
      <w:r>
        <w:rPr>
          <w:rFonts w:ascii="宋体" w:hAnsi="宋体" w:eastAsia="宋体"/>
          <w:b w:val="0"/>
          <w:sz w:val="24"/>
        </w:rPr>
        <w:t>外溢风险管理服务</w:t>
      </w:r>
    </w:p>
    <w:p/>
    <w:p>
      <w:pPr>
        <w:pStyle w:val="Heading4"/>
      </w:pPr>
      <w:r>
        <w:rPr>
          <w:rFonts w:ascii="宋体" w:hAnsi="宋体" w:eastAsia="宋体"/>
          <w:b/>
          <w:color w:val="000000"/>
          <w:sz w:val="28"/>
        </w:rPr>
        <w:t>3.2.2 合作机构</w:t>
      </w:r>
    </w:p>
    <w:p>
      <w:pPr>
        <w:pStyle w:val="ListBullet"/>
      </w:pPr>
      <w:r>
        <w:rPr>
          <w:rFonts w:ascii="宋体" w:hAnsi="宋体" w:eastAsia="宋体"/>
          <w:b w:val="0"/>
          <w:sz w:val="24"/>
        </w:rPr>
        <w:t>华泰保险经纪</w:t>
      </w:r>
    </w:p>
    <w:p>
      <w:pPr>
        <w:pStyle w:val="ListBullet"/>
      </w:pPr>
      <w:r>
        <w:rPr>
          <w:rFonts w:ascii="宋体" w:hAnsi="宋体" w:eastAsia="宋体"/>
          <w:b w:val="0"/>
          <w:sz w:val="24"/>
        </w:rPr>
        <w:t>临研安</w:t>
      </w:r>
    </w:p>
    <w:p>
      <w:pPr>
        <w:pStyle w:val="ListBullet"/>
      </w:pPr>
      <w:r>
        <w:rPr>
          <w:rFonts w:ascii="宋体" w:hAnsi="宋体" w:eastAsia="宋体"/>
          <w:b w:val="0"/>
          <w:sz w:val="24"/>
        </w:rPr>
        <w:t>其他合作方（X）</w:t>
      </w:r>
    </w:p>
    <w:p/>
    <w:p>
      <w:pPr>
        <w:pStyle w:val="Heading4"/>
      </w:pPr>
      <w:r>
        <w:rPr>
          <w:rFonts w:ascii="宋体" w:hAnsi="宋体" w:eastAsia="宋体"/>
          <w:b/>
          <w:color w:val="000000"/>
          <w:sz w:val="28"/>
        </w:rPr>
        <w:t>3.2.3 具体操作流程</w:t>
      </w:r>
    </w:p>
    <w:p/>
    <w:p>
      <w:r>
        <w:rPr>
          <w:rFonts w:ascii="宋体" w:hAnsi="宋体" w:eastAsia="宋体"/>
          <w:b/>
          <w:sz w:val="24"/>
        </w:rPr>
        <w:t>第一步：风险评估与投保</w:t>
      </w:r>
    </w:p>
    <w:p>
      <w:pPr>
        <w:pStyle w:val="ListBullet"/>
      </w:pPr>
      <w:r>
        <w:rPr>
          <w:rFonts w:ascii="宋体" w:hAnsi="宋体" w:eastAsia="宋体"/>
          <w:b w:val="0"/>
          <w:sz w:val="24"/>
        </w:rPr>
        <w:t>华泰经纪协助申办者基于项目复杂度和风险度厘清首要风险与次要风险</w:t>
      </w:r>
    </w:p>
    <w:p>
      <w:pPr>
        <w:pStyle w:val="ListBullet"/>
      </w:pPr>
      <w:r>
        <w:rPr>
          <w:rFonts w:ascii="宋体" w:hAnsi="宋体" w:eastAsia="宋体"/>
          <w:b w:val="0"/>
          <w:sz w:val="24"/>
        </w:rPr>
        <w:t>通过华泰保险经纪完成首要风险投保</w:t>
      </w:r>
    </w:p>
    <w:p/>
    <w:p>
      <w:r>
        <w:rPr>
          <w:rFonts w:ascii="宋体" w:hAnsi="宋体" w:eastAsia="宋体"/>
          <w:b/>
          <w:sz w:val="24"/>
        </w:rPr>
        <w:t>第二步：专项风险管理基金设立</w:t>
      </w:r>
    </w:p>
    <w:p>
      <w:pPr>
        <w:pStyle w:val="ListBullet"/>
      </w:pPr>
      <w:r>
        <w:rPr>
          <w:rFonts w:ascii="宋体" w:hAnsi="宋体" w:eastAsia="宋体"/>
          <w:b w:val="0"/>
          <w:sz w:val="24"/>
        </w:rPr>
        <w:t>申办者根据项目大小、历史或行业经验，向华泰经纪支付风险管理费采购健康医疗服务（例如一个项目3-5万）</w:t>
      </w:r>
    </w:p>
    <w:p>
      <w:pPr>
        <w:pStyle w:val="ListBullet"/>
      </w:pPr>
      <w:r>
        <w:rPr>
          <w:rFonts w:ascii="宋体" w:hAnsi="宋体" w:eastAsia="宋体"/>
          <w:b w:val="0"/>
          <w:sz w:val="24"/>
        </w:rPr>
        <w:t>双方约定健康医疗服务费的使用范围、对象、执行和审批流程、额度等要素</w:t>
      </w:r>
    </w:p>
    <w:p>
      <w:pPr>
        <w:pStyle w:val="ListBullet"/>
      </w:pPr>
      <w:r>
        <w:rPr>
          <w:rFonts w:ascii="宋体" w:hAnsi="宋体" w:eastAsia="宋体"/>
          <w:b w:val="0"/>
          <w:sz w:val="24"/>
        </w:rPr>
        <w:t>该费用作为申办者的专项风险管理基金，实行多退少补原则</w:t>
      </w:r>
    </w:p>
    <w:p/>
    <w:p>
      <w:r>
        <w:rPr>
          <w:rFonts w:ascii="宋体" w:hAnsi="宋体" w:eastAsia="宋体"/>
          <w:b/>
          <w:sz w:val="24"/>
        </w:rPr>
        <w:t>第三步：费用管理</w:t>
      </w:r>
    </w:p>
    <w:p>
      <w:pPr>
        <w:pStyle w:val="ListBullet"/>
      </w:pPr>
      <w:r>
        <w:rPr>
          <w:rFonts w:ascii="宋体" w:hAnsi="宋体" w:eastAsia="宋体"/>
          <w:b w:val="0"/>
          <w:sz w:val="24"/>
        </w:rPr>
        <w:t>健康医疗服务成本以医院出具的医疗费用清单为结算凭证</w:t>
      </w:r>
    </w:p>
    <w:p>
      <w:pPr>
        <w:pStyle w:val="ListBullet"/>
      </w:pPr>
      <w:r>
        <w:rPr>
          <w:rFonts w:ascii="宋体" w:hAnsi="宋体" w:eastAsia="宋体"/>
          <w:b w:val="0"/>
          <w:sz w:val="24"/>
        </w:rPr>
        <w:t>风险管理费采用两种模式：</w:t>
      </w:r>
    </w:p>
    <w:p>
      <w:pPr>
        <w:pStyle w:val="ListBullet"/>
      </w:pPr>
      <w:r>
        <w:rPr>
          <w:rFonts w:ascii="宋体" w:hAnsi="宋体" w:eastAsia="宋体"/>
          <w:b w:val="0"/>
          <w:sz w:val="24"/>
        </w:rPr>
        <w:t>比例费用：整体费用的12-15%</w:t>
      </w:r>
    </w:p>
    <w:p>
      <w:pPr>
        <w:pStyle w:val="ListBullet"/>
      </w:pPr>
      <w:r>
        <w:rPr>
          <w:rFonts w:ascii="宋体" w:hAnsi="宋体" w:eastAsia="宋体"/>
          <w:b w:val="0"/>
          <w:sz w:val="24"/>
        </w:rPr>
        <w:t>举例：申办者支付5万元，其中6千元为风险管理费，4.4万计入专项风险管理基金</w:t>
      </w:r>
    </w:p>
    <w:p>
      <w:pPr>
        <w:pStyle w:val="ListBullet"/>
      </w:pPr>
      <w:r>
        <w:rPr>
          <w:rFonts w:ascii="宋体" w:hAnsi="宋体" w:eastAsia="宋体"/>
          <w:b w:val="0"/>
          <w:sz w:val="24"/>
        </w:rPr>
        <w:t>案件费用：出现大额、疑难医疗行为与受试者提出额外医疗行为时，针对每个案件收取服务费用</w:t>
      </w:r>
    </w:p>
    <w:p/>
    <w:p>
      <w:r>
        <w:rPr>
          <w:rFonts w:ascii="宋体" w:hAnsi="宋体" w:eastAsia="宋体"/>
          <w:b/>
          <w:sz w:val="24"/>
        </w:rPr>
        <w:t>第四步：医疗直付（逐步实现）</w:t>
      </w:r>
    </w:p>
    <w:p>
      <w:pPr>
        <w:pStyle w:val="ListBullet"/>
      </w:pPr>
      <w:r>
        <w:rPr>
          <w:rFonts w:ascii="宋体" w:hAnsi="宋体" w:eastAsia="宋体"/>
          <w:b w:val="0"/>
          <w:sz w:val="24"/>
        </w:rPr>
        <w:t>华泰力争逐步做到与医院实现直付</w:t>
      </w:r>
    </w:p>
    <w:p>
      <w:pPr>
        <w:pStyle w:val="ListBullet"/>
      </w:pPr>
      <w:r>
        <w:rPr>
          <w:rFonts w:ascii="宋体" w:hAnsi="宋体" w:eastAsia="宋体"/>
          <w:b w:val="0"/>
          <w:sz w:val="24"/>
        </w:rPr>
        <w:t>华泰长期为日本多家保险公司提供此类服务，具有近30年经验</w:t>
      </w:r>
    </w:p>
    <w:p>
      <w:pPr>
        <w:pStyle w:val="ListBullet"/>
      </w:pPr>
      <w:r>
        <w:rPr>
          <w:rFonts w:ascii="宋体" w:hAnsi="宋体" w:eastAsia="宋体"/>
          <w:b w:val="0"/>
          <w:sz w:val="24"/>
        </w:rPr>
        <w:t>具有外币结算资质</w:t>
      </w:r>
    </w:p>
    <w:p/>
    <w:p>
      <w:r>
        <w:rPr>
          <w:rFonts w:ascii="宋体" w:hAnsi="宋体" w:eastAsia="宋体"/>
          <w:b/>
          <w:sz w:val="24"/>
        </w:rPr>
        <w:t>第五步：出险处理流程</w:t>
      </w:r>
    </w:p>
    <w:p>
      <w:pPr>
        <w:pStyle w:val="ListNumber"/>
      </w:pPr>
      <w:r>
        <w:rPr>
          <w:rFonts w:ascii="宋体" w:hAnsi="宋体" w:eastAsia="宋体"/>
          <w:b w:val="0"/>
          <w:sz w:val="24"/>
        </w:rPr>
        <w:t>受试者发生AE或其他医疗需求</w:t>
      </w:r>
    </w:p>
    <w:p>
      <w:pPr>
        <w:pStyle w:val="ListNumber"/>
      </w:pPr>
      <w:r>
        <w:rPr>
          <w:rFonts w:ascii="宋体" w:hAnsi="宋体" w:eastAsia="宋体"/>
          <w:b w:val="0"/>
          <w:sz w:val="24"/>
        </w:rPr>
        <w:t>医院第一时间通知华泰</w:t>
      </w:r>
    </w:p>
    <w:p>
      <w:pPr>
        <w:pStyle w:val="ListNumber"/>
      </w:pPr>
      <w:r>
        <w:rPr>
          <w:rFonts w:ascii="宋体" w:hAnsi="宋体" w:eastAsia="宋体"/>
          <w:b w:val="0"/>
          <w:sz w:val="24"/>
        </w:rPr>
        <w:t>华泰正常情况下24小时内与医院、受试者沟通，并通知申办者</w:t>
      </w:r>
    </w:p>
    <w:p>
      <w:pPr>
        <w:pStyle w:val="ListBullet"/>
      </w:pPr>
      <w:r>
        <w:rPr>
          <w:rFonts w:ascii="宋体" w:hAnsi="宋体" w:eastAsia="宋体"/>
          <w:b w:val="0"/>
          <w:sz w:val="24"/>
        </w:rPr>
        <w:t>特殊情况处理：受试者非集中、境外、无法联系、不可抗力等，采用应急处理模式</w:t>
      </w:r>
    </w:p>
    <w:p>
      <w:pPr>
        <w:pStyle w:val="ListNumber"/>
      </w:pPr>
      <w:r>
        <w:rPr>
          <w:rFonts w:ascii="宋体" w:hAnsi="宋体" w:eastAsia="宋体"/>
          <w:b w:val="0"/>
          <w:sz w:val="24"/>
        </w:rPr>
        <w:t>安抚受试者、了解医院拟采取的医疗方式及成本</w:t>
      </w:r>
    </w:p>
    <w:p>
      <w:pPr>
        <w:pStyle w:val="ListNumber"/>
      </w:pPr>
      <w:r>
        <w:rPr>
          <w:rFonts w:ascii="宋体" w:hAnsi="宋体" w:eastAsia="宋体"/>
          <w:b w:val="0"/>
          <w:sz w:val="24"/>
        </w:rPr>
        <w:t>合理且必要的医疗行为及时安排并承诺受试者救治</w:t>
      </w:r>
    </w:p>
    <w:p>
      <w:pPr>
        <w:pStyle w:val="ListNumber"/>
      </w:pPr>
      <w:r>
        <w:rPr>
          <w:rFonts w:ascii="宋体" w:hAnsi="宋体" w:eastAsia="宋体"/>
          <w:b w:val="0"/>
          <w:sz w:val="24"/>
        </w:rPr>
        <w:t>评估申办者专项风险管理基金的余额</w:t>
      </w:r>
    </w:p>
    <w:p>
      <w:pPr>
        <w:pStyle w:val="ListNumber"/>
      </w:pPr>
      <w:r>
        <w:rPr>
          <w:rFonts w:ascii="宋体" w:hAnsi="宋体" w:eastAsia="宋体"/>
          <w:b w:val="0"/>
          <w:sz w:val="24"/>
        </w:rPr>
        <w:t>将以上信息报送申办者</w:t>
      </w:r>
    </w:p>
    <w:p>
      <w:pPr>
        <w:pStyle w:val="ListNumber"/>
      </w:pPr>
      <w:r>
        <w:rPr>
          <w:rFonts w:ascii="宋体" w:hAnsi="宋体" w:eastAsia="宋体"/>
          <w:b w:val="0"/>
          <w:sz w:val="24"/>
        </w:rPr>
        <w:t>申办者同意使用该基金后，华泰与医院进行结算</w:t>
      </w:r>
    </w:p>
    <w:p>
      <w:pPr>
        <w:pStyle w:val="ListNumber"/>
      </w:pPr>
      <w:r>
        <w:rPr>
          <w:rFonts w:ascii="宋体" w:hAnsi="宋体" w:eastAsia="宋体"/>
          <w:b w:val="0"/>
          <w:sz w:val="24"/>
        </w:rPr>
        <w:t>不足部分需申办者补齐，并提供一定费用的余额，以便下次使用</w:t>
      </w:r>
    </w:p>
    <w:p/>
    <w:p>
      <w:r>
        <w:rPr>
          <w:rFonts w:ascii="宋体" w:hAnsi="宋体" w:eastAsia="宋体"/>
          <w:b/>
          <w:sz w:val="24"/>
        </w:rPr>
        <w:t>第六步：风险减量服务</w:t>
      </w:r>
    </w:p>
    <w:p>
      <w:pPr>
        <w:pStyle w:val="ListBullet"/>
      </w:pPr>
      <w:r>
        <w:rPr>
          <w:rFonts w:ascii="宋体" w:hAnsi="宋体" w:eastAsia="宋体"/>
          <w:b w:val="0"/>
          <w:sz w:val="24"/>
        </w:rPr>
        <w:t>华泰经纪与临研安针对临床试验链条的各个环节进行风险点检查</w:t>
      </w:r>
    </w:p>
    <w:p>
      <w:pPr>
        <w:pStyle w:val="ListBullet"/>
      </w:pPr>
      <w:r>
        <w:rPr>
          <w:rFonts w:ascii="宋体" w:hAnsi="宋体" w:eastAsia="宋体"/>
          <w:b w:val="0"/>
          <w:sz w:val="24"/>
        </w:rPr>
        <w:t>人员培训</w:t>
      </w:r>
    </w:p>
    <w:p>
      <w:pPr>
        <w:pStyle w:val="ListBullet"/>
      </w:pPr>
      <w:r>
        <w:rPr>
          <w:rFonts w:ascii="宋体" w:hAnsi="宋体" w:eastAsia="宋体"/>
          <w:b w:val="0"/>
          <w:sz w:val="24"/>
        </w:rPr>
        <w:t>方案完善建议</w:t>
      </w:r>
    </w:p>
    <w:p/>
    <w:p>
      <w:r>
        <w:rPr>
          <w:rFonts w:ascii="宋体" w:hAnsi="宋体" w:eastAsia="宋体"/>
          <w:b/>
          <w:sz w:val="24"/>
        </w:rPr>
        <w:t>第七步：外溢风险管理服务</w:t>
      </w:r>
    </w:p>
    <w:p>
      <w:pPr>
        <w:pStyle w:val="ListBullet"/>
      </w:pPr>
      <w:r>
        <w:rPr>
          <w:rFonts w:ascii="宋体" w:hAnsi="宋体" w:eastAsia="宋体"/>
          <w:b w:val="0"/>
          <w:sz w:val="24"/>
        </w:rPr>
        <w:t>针对受试者出险后的全流程管理</w:t>
      </w:r>
    </w:p>
    <w:p>
      <w:pPr>
        <w:pStyle w:val="ListBullet"/>
      </w:pPr>
      <w:r>
        <w:rPr>
          <w:rFonts w:ascii="宋体" w:hAnsi="宋体" w:eastAsia="宋体"/>
          <w:b w:val="0"/>
          <w:sz w:val="24"/>
        </w:rPr>
        <w:t>联系、安抚、安排就医、沟通诉求、沟通合理预期</w:t>
      </w:r>
    </w:p>
    <w:p/>
    <w:p>
      <w:pPr>
        <w:pStyle w:val="Heading4"/>
      </w:pPr>
      <w:r>
        <w:rPr>
          <w:rFonts w:ascii="宋体" w:hAnsi="宋体" w:eastAsia="宋体"/>
          <w:b/>
          <w:color w:val="000000"/>
          <w:sz w:val="28"/>
        </w:rPr>
        <w:t>3.2.4 华泰与临研安的合作模式</w:t>
      </w:r>
    </w:p>
    <w:p>
      <w:pPr>
        <w:pStyle w:val="ListNumber"/>
      </w:pPr>
      <w:r>
        <w:rPr>
          <w:rFonts w:ascii="宋体" w:hAnsi="宋体" w:eastAsia="宋体"/>
          <w:b w:val="0"/>
          <w:sz w:val="24"/>
        </w:rPr>
        <w:t>华泰将收到的资金统一进行管理</w:t>
      </w:r>
    </w:p>
    <w:p>
      <w:pPr>
        <w:pStyle w:val="ListNumber"/>
      </w:pPr>
      <w:r>
        <w:rPr>
          <w:rFonts w:ascii="宋体" w:hAnsi="宋体" w:eastAsia="宋体"/>
          <w:b w:val="0"/>
          <w:sz w:val="24"/>
        </w:rPr>
        <w:t>临研安在执行中根据申办者的答复从华泰收到相关费用，并含一定比例服务费（8-10%）</w:t>
      </w:r>
    </w:p>
    <w:p>
      <w:pPr>
        <w:pStyle w:val="ListNumber"/>
      </w:pPr>
      <w:r>
        <w:rPr>
          <w:rFonts w:ascii="宋体" w:hAnsi="宋体" w:eastAsia="宋体"/>
          <w:b w:val="0"/>
          <w:sz w:val="24"/>
        </w:rPr>
        <w:t>华泰逐步实现和各家医院打通直付，具体额度、时效、范围等需要再讨论</w:t>
      </w:r>
    </w:p>
    <w:p>
      <w:pPr>
        <w:pStyle w:val="ListNumber"/>
      </w:pPr>
      <w:r>
        <w:rPr>
          <w:rFonts w:ascii="宋体" w:hAnsi="宋体" w:eastAsia="宋体"/>
          <w:b w:val="0"/>
          <w:sz w:val="24"/>
        </w:rPr>
        <w:t>需要临研安经营范围内包括健康服务采购</w:t>
      </w:r>
    </w:p>
    <w:p/>
    <w:p>
      <w:r>
        <w:rPr>
          <w:rFonts w:ascii="宋体" w:hAnsi="宋体" w:eastAsia="宋体"/>
          <w:b w:val="0"/>
          <w:sz w:val="24"/>
        </w:rPr>
        <w:t>---</w:t>
      </w:r>
    </w:p>
    <w:p/>
    <w:p>
      <w:pPr>
        <w:pStyle w:val="Heading2"/>
      </w:pPr>
      <w:r>
        <w:rPr>
          <w:rFonts w:ascii="宋体" w:hAnsi="宋体" w:eastAsia="宋体"/>
          <w:b/>
          <w:color w:val="000000"/>
          <w:sz w:val="36"/>
        </w:rPr>
        <w:t>四、功能需求</w:t>
      </w:r>
    </w:p>
    <w:p/>
    <w:p>
      <w:pPr>
        <w:pStyle w:val="Heading3"/>
      </w:pPr>
      <w:r>
        <w:rPr>
          <w:rFonts w:ascii="宋体" w:hAnsi="宋体" w:eastAsia="宋体"/>
          <w:b/>
          <w:color w:val="000000"/>
          <w:sz w:val="32"/>
        </w:rPr>
        <w:t>4.1 用户认证与权限</w:t>
      </w:r>
    </w:p>
    <w:p>
      <w:pPr>
        <w:pStyle w:val="ListBullet"/>
      </w:pPr>
      <w:r>
        <w:rPr>
          <w:rFonts w:ascii="宋体" w:hAnsi="宋体" w:eastAsia="宋体"/>
          <w:b w:val="0"/>
          <w:sz w:val="24"/>
        </w:rPr>
        <w:t>访问方式：网站免登录访问，所有内容公开</w:t>
      </w:r>
    </w:p>
    <w:p>
      <w:pPr>
        <w:pStyle w:val="ListBullet"/>
      </w:pPr>
      <w:r>
        <w:rPr>
          <w:rFonts w:ascii="宋体" w:hAnsi="宋体" w:eastAsia="宋体"/>
          <w:b w:val="0"/>
          <w:sz w:val="24"/>
        </w:rPr>
        <w:t>未来扩展：可考虑添加登录功能，为不同角色提供个性化内容</w:t>
      </w:r>
    </w:p>
    <w:p/>
    <w:p>
      <w:pPr>
        <w:pStyle w:val="Heading3"/>
      </w:pPr>
      <w:r>
        <w:rPr>
          <w:rFonts w:ascii="宋体" w:hAnsi="宋体" w:eastAsia="宋体"/>
          <w:b/>
          <w:color w:val="000000"/>
          <w:sz w:val="32"/>
        </w:rPr>
        <w:t>4.2 内容管理</w:t>
      </w:r>
    </w:p>
    <w:p>
      <w:pPr>
        <w:pStyle w:val="ListBullet"/>
      </w:pPr>
      <w:r>
        <w:rPr>
          <w:rFonts w:ascii="宋体" w:hAnsi="宋体" w:eastAsia="宋体"/>
          <w:b w:val="0"/>
          <w:sz w:val="24"/>
        </w:rPr>
        <w:t>内容发布：支持发布活动动态、资源文件</w:t>
      </w:r>
    </w:p>
    <w:p>
      <w:pPr>
        <w:pStyle w:val="ListBullet"/>
      </w:pPr>
      <w:r>
        <w:rPr>
          <w:rFonts w:ascii="宋体" w:hAnsi="宋体" w:eastAsia="宋体"/>
          <w:b w:val="0"/>
          <w:sz w:val="24"/>
        </w:rPr>
        <w:t>内容分类：支持多级分类管理</w:t>
      </w:r>
    </w:p>
    <w:p>
      <w:pPr>
        <w:pStyle w:val="ListBullet"/>
      </w:pPr>
      <w:r>
        <w:rPr>
          <w:rFonts w:ascii="宋体" w:hAnsi="宋体" w:eastAsia="宋体"/>
          <w:b w:val="0"/>
          <w:sz w:val="24"/>
        </w:rPr>
        <w:t>内容搜索：支持全文搜索功能</w:t>
      </w:r>
    </w:p>
    <w:p>
      <w:pPr>
        <w:pStyle w:val="ListBullet"/>
      </w:pPr>
      <w:r>
        <w:rPr>
          <w:rFonts w:ascii="宋体" w:hAnsi="宋体" w:eastAsia="宋体"/>
          <w:b w:val="0"/>
          <w:sz w:val="24"/>
        </w:rPr>
        <w:t>文件管理：支持文档上传、下载、预览</w:t>
      </w:r>
    </w:p>
    <w:p/>
    <w:p>
      <w:pPr>
        <w:pStyle w:val="Heading3"/>
      </w:pPr>
      <w:r>
        <w:rPr>
          <w:rFonts w:ascii="宋体" w:hAnsi="宋体" w:eastAsia="宋体"/>
          <w:b/>
          <w:color w:val="000000"/>
          <w:sz w:val="32"/>
        </w:rPr>
        <w:t>4.3 交互功能</w:t>
      </w:r>
    </w:p>
    <w:p>
      <w:pPr>
        <w:pStyle w:val="ListBullet"/>
      </w:pPr>
      <w:r>
        <w:rPr>
          <w:rFonts w:ascii="宋体" w:hAnsi="宋体" w:eastAsia="宋体"/>
          <w:b w:val="0"/>
          <w:sz w:val="24"/>
        </w:rPr>
        <w:t>在线咨询：支持在线咨询功能（未来扩展）</w:t>
      </w:r>
    </w:p>
    <w:p>
      <w:pPr>
        <w:pStyle w:val="ListBullet"/>
      </w:pPr>
      <w:r>
        <w:rPr>
          <w:rFonts w:ascii="宋体" w:hAnsi="宋体" w:eastAsia="宋体"/>
          <w:b w:val="0"/>
          <w:sz w:val="24"/>
        </w:rPr>
        <w:t>表单提交：支持服务申请表单提交（未来扩展）</w:t>
      </w:r>
    </w:p>
    <w:p>
      <w:pPr>
        <w:pStyle w:val="ListBullet"/>
      </w:pPr>
      <w:r>
        <w:rPr>
          <w:rFonts w:ascii="宋体" w:hAnsi="宋体" w:eastAsia="宋体"/>
          <w:b w:val="0"/>
          <w:sz w:val="24"/>
        </w:rPr>
        <w:t>流程跟踪：支持查看服务流程状态（未来扩展）</w:t>
      </w:r>
    </w:p>
    <w:p/>
    <w:p>
      <w:pPr>
        <w:pStyle w:val="Heading3"/>
      </w:pPr>
      <w:r>
        <w:rPr>
          <w:rFonts w:ascii="宋体" w:hAnsi="宋体" w:eastAsia="宋体"/>
          <w:b/>
          <w:color w:val="000000"/>
          <w:sz w:val="32"/>
        </w:rPr>
        <w:t>4.4 数据可视化</w:t>
      </w:r>
    </w:p>
    <w:p>
      <w:pPr>
        <w:pStyle w:val="ListBullet"/>
      </w:pPr>
      <w:r>
        <w:rPr>
          <w:rFonts w:ascii="宋体" w:hAnsi="宋体" w:eastAsia="宋体"/>
          <w:b w:val="0"/>
          <w:sz w:val="24"/>
        </w:rPr>
        <w:t>模式图展示：交互式一站式风险管理模式图</w:t>
      </w:r>
    </w:p>
    <w:p>
      <w:pPr>
        <w:pStyle w:val="ListBullet"/>
      </w:pPr>
      <w:r>
        <w:rPr>
          <w:rFonts w:ascii="宋体" w:hAnsi="宋体" w:eastAsia="宋体"/>
          <w:b w:val="0"/>
          <w:sz w:val="24"/>
        </w:rPr>
        <w:t>流程图展示：服务流程可视化</w:t>
      </w:r>
    </w:p>
    <w:p>
      <w:pPr>
        <w:pStyle w:val="ListBullet"/>
      </w:pPr>
      <w:r>
        <w:rPr>
          <w:rFonts w:ascii="宋体" w:hAnsi="宋体" w:eastAsia="宋体"/>
          <w:b w:val="0"/>
          <w:sz w:val="24"/>
        </w:rPr>
        <w:t>数据统计：服务数据统计展示（未来扩展）</w:t>
      </w:r>
    </w:p>
    <w:p/>
    <w:p>
      <w:r>
        <w:rPr>
          <w:rFonts w:ascii="宋体" w:hAnsi="宋体" w:eastAsia="宋体"/>
          <w:b w:val="0"/>
          <w:sz w:val="24"/>
        </w:rPr>
        <w:t>---</w:t>
      </w:r>
    </w:p>
    <w:p/>
    <w:p>
      <w:pPr>
        <w:pStyle w:val="Heading2"/>
      </w:pPr>
      <w:r>
        <w:rPr>
          <w:rFonts w:ascii="宋体" w:hAnsi="宋体" w:eastAsia="宋体"/>
          <w:b/>
          <w:color w:val="000000"/>
          <w:sz w:val="36"/>
        </w:rPr>
        <w:t>五、非功能需求</w:t>
      </w:r>
    </w:p>
    <w:p/>
    <w:p>
      <w:pPr>
        <w:pStyle w:val="Heading3"/>
      </w:pPr>
      <w:r>
        <w:rPr>
          <w:rFonts w:ascii="宋体" w:hAnsi="宋体" w:eastAsia="宋体"/>
          <w:b/>
          <w:color w:val="000000"/>
          <w:sz w:val="32"/>
        </w:rPr>
        <w:t>5.1 性能要求</w:t>
      </w:r>
    </w:p>
    <w:p>
      <w:pPr>
        <w:pStyle w:val="ListBullet"/>
      </w:pPr>
      <w:r>
        <w:rPr>
          <w:rFonts w:ascii="宋体" w:hAnsi="宋体" w:eastAsia="宋体"/>
          <w:b w:val="0"/>
          <w:sz w:val="24"/>
        </w:rPr>
        <w:t>页面加载速度：首屏加载时间&lt;3秒</w:t>
      </w:r>
    </w:p>
    <w:p>
      <w:pPr>
        <w:pStyle w:val="ListBullet"/>
      </w:pPr>
      <w:r>
        <w:rPr>
          <w:rFonts w:ascii="宋体" w:hAnsi="宋体" w:eastAsia="宋体"/>
          <w:b w:val="0"/>
          <w:sz w:val="24"/>
        </w:rPr>
        <w:t>响应时间：交互响应时间&lt;1秒</w:t>
      </w:r>
    </w:p>
    <w:p>
      <w:pPr>
        <w:pStyle w:val="ListBullet"/>
      </w:pPr>
      <w:r>
        <w:rPr>
          <w:rFonts w:ascii="宋体" w:hAnsi="宋体" w:eastAsia="宋体"/>
          <w:b w:val="0"/>
          <w:sz w:val="24"/>
        </w:rPr>
        <w:t>支持并发用户数：根据实际需求确定</w:t>
      </w:r>
    </w:p>
    <w:p/>
    <w:p>
      <w:pPr>
        <w:pStyle w:val="Heading3"/>
      </w:pPr>
      <w:r>
        <w:rPr>
          <w:rFonts w:ascii="宋体" w:hAnsi="宋体" w:eastAsia="宋体"/>
          <w:b/>
          <w:color w:val="000000"/>
          <w:sz w:val="32"/>
        </w:rPr>
        <w:t>5.2 安全要求</w:t>
      </w:r>
    </w:p>
    <w:p>
      <w:pPr>
        <w:pStyle w:val="ListBullet"/>
      </w:pPr>
      <w:r>
        <w:rPr>
          <w:rFonts w:ascii="宋体" w:hAnsi="宋体" w:eastAsia="宋体"/>
          <w:b w:val="0"/>
          <w:sz w:val="24"/>
        </w:rPr>
        <w:t>数据加密传输（HTTPS）</w:t>
      </w:r>
    </w:p>
    <w:p>
      <w:pPr>
        <w:pStyle w:val="ListBullet"/>
      </w:pPr>
      <w:r>
        <w:rPr>
          <w:rFonts w:ascii="宋体" w:hAnsi="宋体" w:eastAsia="宋体"/>
          <w:b w:val="0"/>
          <w:sz w:val="24"/>
        </w:rPr>
        <w:t>用户数据安全保护</w:t>
      </w:r>
    </w:p>
    <w:p>
      <w:pPr>
        <w:pStyle w:val="ListBullet"/>
      </w:pPr>
      <w:r>
        <w:rPr>
          <w:rFonts w:ascii="宋体" w:hAnsi="宋体" w:eastAsia="宋体"/>
          <w:b w:val="0"/>
          <w:sz w:val="24"/>
        </w:rPr>
        <w:t>访问日志记录</w:t>
      </w:r>
    </w:p>
    <w:p>
      <w:pPr>
        <w:pStyle w:val="ListBullet"/>
      </w:pPr>
      <w:r>
        <w:rPr>
          <w:rFonts w:ascii="宋体" w:hAnsi="宋体" w:eastAsia="宋体"/>
          <w:b w:val="0"/>
          <w:sz w:val="24"/>
        </w:rPr>
        <w:t>权限控制（如需要）</w:t>
      </w:r>
    </w:p>
    <w:p/>
    <w:p>
      <w:pPr>
        <w:pStyle w:val="Heading3"/>
      </w:pPr>
      <w:r>
        <w:rPr>
          <w:rFonts w:ascii="宋体" w:hAnsi="宋体" w:eastAsia="宋体"/>
          <w:b/>
          <w:color w:val="000000"/>
          <w:sz w:val="32"/>
        </w:rPr>
        <w:t>5.3 兼容性要求</w:t>
      </w:r>
    </w:p>
    <w:p>
      <w:pPr>
        <w:pStyle w:val="ListBullet"/>
      </w:pPr>
      <w:r>
        <w:rPr>
          <w:rFonts w:ascii="宋体" w:hAnsi="宋体" w:eastAsia="宋体"/>
          <w:b w:val="0"/>
          <w:sz w:val="24"/>
        </w:rPr>
        <w:t>浏览器兼容：Chrome、Firefox、Safari、Edge最新版本</w:t>
      </w:r>
    </w:p>
    <w:p>
      <w:pPr>
        <w:pStyle w:val="ListBullet"/>
      </w:pPr>
      <w:r>
        <w:rPr>
          <w:rFonts w:ascii="宋体" w:hAnsi="宋体" w:eastAsia="宋体"/>
          <w:b w:val="0"/>
          <w:sz w:val="24"/>
        </w:rPr>
        <w:t>响应式设计：支持PC、平板、手机访问</w:t>
      </w:r>
    </w:p>
    <w:p>
      <w:pPr>
        <w:pStyle w:val="ListBullet"/>
      </w:pPr>
      <w:r>
        <w:rPr>
          <w:rFonts w:ascii="宋体" w:hAnsi="宋体" w:eastAsia="宋体"/>
          <w:b w:val="0"/>
          <w:sz w:val="24"/>
        </w:rPr>
        <w:t>分辨率适配：1920x1080、1366x768、移动端等</w:t>
      </w:r>
    </w:p>
    <w:p/>
    <w:p>
      <w:pPr>
        <w:pStyle w:val="Heading3"/>
      </w:pPr>
      <w:r>
        <w:rPr>
          <w:rFonts w:ascii="宋体" w:hAnsi="宋体" w:eastAsia="宋体"/>
          <w:b/>
          <w:color w:val="000000"/>
          <w:sz w:val="32"/>
        </w:rPr>
        <w:t>5.4 可维护性要求</w:t>
      </w:r>
    </w:p>
    <w:p>
      <w:pPr>
        <w:pStyle w:val="ListBullet"/>
      </w:pPr>
      <w:r>
        <w:rPr>
          <w:rFonts w:ascii="宋体" w:hAnsi="宋体" w:eastAsia="宋体"/>
          <w:b w:val="0"/>
          <w:sz w:val="24"/>
        </w:rPr>
        <w:t>代码规范：遵循前端开发规范</w:t>
      </w:r>
    </w:p>
    <w:p>
      <w:pPr>
        <w:pStyle w:val="ListBullet"/>
      </w:pPr>
      <w:r>
        <w:rPr>
          <w:rFonts w:ascii="宋体" w:hAnsi="宋体" w:eastAsia="宋体"/>
          <w:b w:val="0"/>
          <w:sz w:val="24"/>
        </w:rPr>
        <w:t>文档完善：提供技术文档和用户手册</w:t>
      </w:r>
    </w:p>
    <w:p>
      <w:pPr>
        <w:pStyle w:val="ListBullet"/>
      </w:pPr>
      <w:r>
        <w:rPr>
          <w:rFonts w:ascii="宋体" w:hAnsi="宋体" w:eastAsia="宋体"/>
          <w:b w:val="0"/>
          <w:sz w:val="24"/>
        </w:rPr>
        <w:t>易于扩展：支持后续功能扩展</w:t>
      </w:r>
    </w:p>
    <w:p/>
    <w:p>
      <w:r>
        <w:rPr>
          <w:rFonts w:ascii="宋体" w:hAnsi="宋体" w:eastAsia="宋体"/>
          <w:b w:val="0"/>
          <w:sz w:val="24"/>
        </w:rPr>
        <w:t>---</w:t>
      </w:r>
    </w:p>
    <w:p/>
    <w:p>
      <w:pPr>
        <w:pStyle w:val="Heading2"/>
      </w:pPr>
      <w:r>
        <w:rPr>
          <w:rFonts w:ascii="宋体" w:hAnsi="宋体" w:eastAsia="宋体"/>
          <w:b/>
          <w:color w:val="000000"/>
          <w:sz w:val="36"/>
        </w:rPr>
        <w:t>六、设计建议</w:t>
      </w:r>
    </w:p>
    <w:p/>
    <w:p>
      <w:pPr>
        <w:pStyle w:val="Heading3"/>
      </w:pPr>
      <w:r>
        <w:rPr>
          <w:rFonts w:ascii="宋体" w:hAnsi="宋体" w:eastAsia="宋体"/>
          <w:b/>
          <w:color w:val="000000"/>
          <w:sz w:val="32"/>
        </w:rPr>
        <w:t>6.1 视觉设计</w:t>
      </w:r>
    </w:p>
    <w:p>
      <w:pPr>
        <w:pStyle w:val="ListBullet"/>
      </w:pPr>
      <w:r>
        <w:rPr>
          <w:rFonts w:ascii="宋体" w:hAnsi="宋体" w:eastAsia="宋体"/>
          <w:b w:val="0"/>
          <w:sz w:val="24"/>
        </w:rPr>
        <w:t>风格定位：专业、可信、现代</w:t>
      </w:r>
    </w:p>
    <w:p>
      <w:pPr>
        <w:pStyle w:val="ListBullet"/>
      </w:pPr>
      <w:r>
        <w:rPr>
          <w:rFonts w:ascii="宋体" w:hAnsi="宋体" w:eastAsia="宋体"/>
          <w:b w:val="0"/>
          <w:sz w:val="24"/>
        </w:rPr>
        <w:t>色彩方案：医疗健康相关配色，体现专业性</w:t>
      </w:r>
    </w:p>
    <w:p>
      <w:pPr>
        <w:pStyle w:val="ListBullet"/>
      </w:pPr>
      <w:r>
        <w:rPr>
          <w:rFonts w:ascii="宋体" w:hAnsi="宋体" w:eastAsia="宋体"/>
          <w:b w:val="0"/>
          <w:sz w:val="24"/>
        </w:rPr>
        <w:t>图标系统：统一的图标风格</w:t>
      </w:r>
    </w:p>
    <w:p>
      <w:pPr>
        <w:pStyle w:val="ListBullet"/>
      </w:pPr>
      <w:r>
        <w:rPr>
          <w:rFonts w:ascii="宋体" w:hAnsi="宋体" w:eastAsia="宋体"/>
          <w:b w:val="0"/>
          <w:sz w:val="24"/>
        </w:rPr>
        <w:t>品牌元素：临研安、华泰保险经纪品牌元素融入</w:t>
      </w:r>
    </w:p>
    <w:p/>
    <w:p>
      <w:pPr>
        <w:pStyle w:val="Heading3"/>
      </w:pPr>
      <w:r>
        <w:rPr>
          <w:rFonts w:ascii="宋体" w:hAnsi="宋体" w:eastAsia="宋体"/>
          <w:b/>
          <w:color w:val="000000"/>
          <w:sz w:val="32"/>
        </w:rPr>
        <w:t>6.2 用户体验</w:t>
      </w:r>
    </w:p>
    <w:p>
      <w:pPr>
        <w:pStyle w:val="ListBullet"/>
      </w:pPr>
      <w:r>
        <w:rPr>
          <w:rFonts w:ascii="宋体" w:hAnsi="宋体" w:eastAsia="宋体"/>
          <w:b w:val="0"/>
          <w:sz w:val="24"/>
        </w:rPr>
        <w:t>导航清晰：清晰的导航结构，易于找到信息</w:t>
      </w:r>
    </w:p>
    <w:p>
      <w:pPr>
        <w:pStyle w:val="ListBullet"/>
      </w:pPr>
      <w:r>
        <w:rPr>
          <w:rFonts w:ascii="宋体" w:hAnsi="宋体" w:eastAsia="宋体"/>
          <w:b w:val="0"/>
          <w:sz w:val="24"/>
        </w:rPr>
        <w:t>信息层次：重要信息突出展示</w:t>
      </w:r>
    </w:p>
    <w:p>
      <w:pPr>
        <w:pStyle w:val="ListBullet"/>
      </w:pPr>
      <w:r>
        <w:rPr>
          <w:rFonts w:ascii="宋体" w:hAnsi="宋体" w:eastAsia="宋体"/>
          <w:b w:val="0"/>
          <w:sz w:val="24"/>
        </w:rPr>
        <w:t>交互友好：操作简单直观</w:t>
      </w:r>
    </w:p>
    <w:p>
      <w:pPr>
        <w:pStyle w:val="ListBullet"/>
      </w:pPr>
      <w:r>
        <w:rPr>
          <w:rFonts w:ascii="宋体" w:hAnsi="宋体" w:eastAsia="宋体"/>
          <w:b w:val="0"/>
          <w:sz w:val="24"/>
        </w:rPr>
        <w:t>内容可读性：文字排版清晰，易于阅读</w:t>
      </w:r>
    </w:p>
    <w:p/>
    <w:p>
      <w:pPr>
        <w:pStyle w:val="Heading3"/>
      </w:pPr>
      <w:r>
        <w:rPr>
          <w:rFonts w:ascii="宋体" w:hAnsi="宋体" w:eastAsia="宋体"/>
          <w:b/>
          <w:color w:val="000000"/>
          <w:sz w:val="32"/>
        </w:rPr>
        <w:t>6.3 特殊页面设计</w:t>
      </w:r>
    </w:p>
    <w:p>
      <w:pPr>
        <w:pStyle w:val="ListBullet"/>
      </w:pPr>
      <w:r>
        <w:rPr>
          <w:rFonts w:ascii="宋体" w:hAnsi="宋体" w:eastAsia="宋体"/>
          <w:b w:val="0"/>
          <w:sz w:val="24"/>
        </w:rPr>
        <w:t>模式图页面：重点设计，支持交互式展示</w:t>
      </w:r>
    </w:p>
    <w:p>
      <w:pPr>
        <w:pStyle w:val="ListBullet"/>
      </w:pPr>
      <w:r>
        <w:rPr>
          <w:rFonts w:ascii="宋体" w:hAnsi="宋体" w:eastAsia="宋体"/>
          <w:b w:val="0"/>
          <w:sz w:val="24"/>
        </w:rPr>
        <w:t>流程页面：流程图清晰展示各步骤</w:t>
      </w:r>
    </w:p>
    <w:p>
      <w:pPr>
        <w:pStyle w:val="ListBullet"/>
      </w:pPr>
      <w:r>
        <w:rPr>
          <w:rFonts w:ascii="宋体" w:hAnsi="宋体" w:eastAsia="宋体"/>
          <w:b w:val="0"/>
          <w:sz w:val="24"/>
        </w:rPr>
        <w:t>资源中心：支持分类浏览、搜索、下载</w:t>
      </w:r>
    </w:p>
    <w:p/>
    <w:p>
      <w:r>
        <w:rPr>
          <w:rFonts w:ascii="宋体" w:hAnsi="宋体" w:eastAsia="宋体"/>
          <w:b w:val="0"/>
          <w:sz w:val="24"/>
        </w:rPr>
        <w:t>---</w:t>
      </w:r>
    </w:p>
    <w:p/>
    <w:p>
      <w:pPr>
        <w:pStyle w:val="Heading2"/>
      </w:pPr>
      <w:r>
        <w:rPr>
          <w:rFonts w:ascii="宋体" w:hAnsi="宋体" w:eastAsia="宋体"/>
          <w:b/>
          <w:color w:val="000000"/>
          <w:sz w:val="36"/>
        </w:rPr>
        <w:t>七、技术建议</w:t>
      </w:r>
    </w:p>
    <w:p/>
    <w:p>
      <w:pPr>
        <w:pStyle w:val="Heading3"/>
      </w:pPr>
      <w:r>
        <w:rPr>
          <w:rFonts w:ascii="宋体" w:hAnsi="宋体" w:eastAsia="宋体"/>
          <w:b/>
          <w:color w:val="000000"/>
          <w:sz w:val="32"/>
        </w:rPr>
        <w:t>7.1 技术栈建议</w:t>
      </w:r>
    </w:p>
    <w:p>
      <w:pPr>
        <w:pStyle w:val="ListBullet"/>
      </w:pPr>
      <w:r>
        <w:rPr>
          <w:rFonts w:ascii="宋体" w:hAnsi="宋体" w:eastAsia="宋体"/>
          <w:b w:val="0"/>
          <w:sz w:val="24"/>
        </w:rPr>
        <w:t>前端框架：React/Vue.js（推荐React）</w:t>
      </w:r>
    </w:p>
    <w:p>
      <w:pPr>
        <w:pStyle w:val="ListBullet"/>
      </w:pPr>
      <w:r>
        <w:rPr>
          <w:rFonts w:ascii="宋体" w:hAnsi="宋体" w:eastAsia="宋体"/>
          <w:b w:val="0"/>
          <w:sz w:val="24"/>
        </w:rPr>
        <w:t>UI组件库：Ant Design / Element UI（可选）</w:t>
      </w:r>
    </w:p>
    <w:p>
      <w:pPr>
        <w:pStyle w:val="ListBullet"/>
      </w:pPr>
      <w:r>
        <w:rPr>
          <w:rFonts w:ascii="宋体" w:hAnsi="宋体" w:eastAsia="宋体"/>
          <w:b w:val="0"/>
          <w:sz w:val="24"/>
        </w:rPr>
        <w:t>图表库：ECharts / D3.js（用于模式图可视化）</w:t>
      </w:r>
    </w:p>
    <w:p>
      <w:pPr>
        <w:pStyle w:val="ListBullet"/>
      </w:pPr>
      <w:r>
        <w:rPr>
          <w:rFonts w:ascii="宋体" w:hAnsi="宋体" w:eastAsia="宋体"/>
          <w:b w:val="0"/>
          <w:sz w:val="24"/>
        </w:rPr>
        <w:t>状态管理：Redux / Vuex（如需要）</w:t>
      </w:r>
    </w:p>
    <w:p>
      <w:pPr>
        <w:pStyle w:val="ListBullet"/>
      </w:pPr>
      <w:r>
        <w:rPr>
          <w:rFonts w:ascii="宋体" w:hAnsi="宋体" w:eastAsia="宋体"/>
          <w:b w:val="0"/>
          <w:sz w:val="24"/>
        </w:rPr>
        <w:t>构建工具：Webpack / Vite（推荐Vite）</w:t>
      </w:r>
    </w:p>
    <w:p/>
    <w:p>
      <w:pPr>
        <w:pStyle w:val="Heading3"/>
      </w:pPr>
      <w:r>
        <w:rPr>
          <w:rFonts w:ascii="宋体" w:hAnsi="宋体" w:eastAsia="宋体"/>
          <w:b/>
          <w:color w:val="000000"/>
          <w:sz w:val="32"/>
        </w:rPr>
        <w:t>7.2 后端建议（未来扩展）</w:t>
      </w:r>
    </w:p>
    <w:p>
      <w:pPr>
        <w:pStyle w:val="ListBullet"/>
      </w:pPr>
      <w:r>
        <w:rPr>
          <w:rFonts w:ascii="宋体" w:hAnsi="宋体" w:eastAsia="宋体"/>
          <w:b w:val="0"/>
          <w:sz w:val="24"/>
        </w:rPr>
        <w:t>后端框架：Node.js / Python Django / Java Spring Boot</w:t>
      </w:r>
    </w:p>
    <w:p>
      <w:pPr>
        <w:pStyle w:val="ListBullet"/>
      </w:pPr>
      <w:r>
        <w:rPr>
          <w:rFonts w:ascii="宋体" w:hAnsi="宋体" w:eastAsia="宋体"/>
          <w:b w:val="0"/>
          <w:sz w:val="24"/>
        </w:rPr>
        <w:t>数据库：MySQL / PostgreSQL</w:t>
      </w:r>
    </w:p>
    <w:p>
      <w:pPr>
        <w:pStyle w:val="ListBullet"/>
      </w:pPr>
      <w:r>
        <w:rPr>
          <w:rFonts w:ascii="宋体" w:hAnsi="宋体" w:eastAsia="宋体"/>
          <w:b w:val="0"/>
          <w:sz w:val="24"/>
        </w:rPr>
        <w:t>文件存储：OSS / 本地存储</w:t>
      </w:r>
    </w:p>
    <w:p>
      <w:pPr>
        <w:pStyle w:val="ListBullet"/>
      </w:pPr>
      <w:r>
        <w:rPr>
          <w:rFonts w:ascii="宋体" w:hAnsi="宋体" w:eastAsia="宋体"/>
          <w:b w:val="0"/>
          <w:sz w:val="24"/>
        </w:rPr>
        <w:t>API设计：RESTful API</w:t>
      </w:r>
    </w:p>
    <w:p/>
    <w:p>
      <w:pPr>
        <w:pStyle w:val="Heading3"/>
      </w:pPr>
      <w:r>
        <w:rPr>
          <w:rFonts w:ascii="宋体" w:hAnsi="宋体" w:eastAsia="宋体"/>
          <w:b/>
          <w:color w:val="000000"/>
          <w:sz w:val="32"/>
        </w:rPr>
        <w:t>7.3 部署建议</w:t>
      </w:r>
    </w:p>
    <w:p>
      <w:pPr>
        <w:pStyle w:val="ListBullet"/>
      </w:pPr>
      <w:r>
        <w:rPr>
          <w:rFonts w:ascii="宋体" w:hAnsi="宋体" w:eastAsia="宋体"/>
          <w:b w:val="0"/>
          <w:sz w:val="24"/>
        </w:rPr>
        <w:t>服务器：云服务器（阿里云/腾讯云等）</w:t>
      </w:r>
    </w:p>
    <w:p>
      <w:pPr>
        <w:pStyle w:val="ListBullet"/>
      </w:pPr>
      <w:r>
        <w:rPr>
          <w:rFonts w:ascii="宋体" w:hAnsi="宋体" w:eastAsia="宋体"/>
          <w:b w:val="0"/>
          <w:sz w:val="24"/>
        </w:rPr>
        <w:t>CDN：静态资源CDN加速</w:t>
      </w:r>
    </w:p>
    <w:p>
      <w:pPr>
        <w:pStyle w:val="ListBullet"/>
      </w:pPr>
      <w:r>
        <w:rPr>
          <w:rFonts w:ascii="宋体" w:hAnsi="宋体" w:eastAsia="宋体"/>
          <w:b w:val="0"/>
          <w:sz w:val="24"/>
        </w:rPr>
        <w:t>域名SSL：配置HTTPS证书</w:t>
      </w:r>
    </w:p>
    <w:p/>
    <w:p>
      <w:r>
        <w:rPr>
          <w:rFonts w:ascii="宋体" w:hAnsi="宋体" w:eastAsia="宋体"/>
          <w:b w:val="0"/>
          <w:sz w:val="24"/>
        </w:rPr>
        <w:t>---</w:t>
      </w:r>
    </w:p>
    <w:p/>
    <w:p>
      <w:pPr>
        <w:pStyle w:val="Heading2"/>
      </w:pPr>
      <w:r>
        <w:rPr>
          <w:rFonts w:ascii="宋体" w:hAnsi="宋体" w:eastAsia="宋体"/>
          <w:b/>
          <w:color w:val="000000"/>
          <w:sz w:val="36"/>
        </w:rPr>
        <w:t>八、开发阶段建议</w:t>
      </w:r>
    </w:p>
    <w:p/>
    <w:p>
      <w:pPr>
        <w:pStyle w:val="Heading3"/>
      </w:pPr>
      <w:r>
        <w:rPr>
          <w:rFonts w:ascii="宋体" w:hAnsi="宋体" w:eastAsia="宋体"/>
          <w:b/>
          <w:color w:val="000000"/>
          <w:sz w:val="32"/>
        </w:rPr>
        <w:t>8.1 第一阶段：核心功能（已完成）</w:t>
      </w:r>
    </w:p>
    <w:p>
      <w:pPr>
        <w:pStyle w:val="ListNumber"/>
      </w:pPr>
      <w:r>
        <w:rPr>
          <w:rFonts w:ascii="宋体" w:hAnsi="宋体" w:eastAsia="宋体"/>
          <w:b w:val="0"/>
          <w:sz w:val="24"/>
        </w:rPr>
        <w:t>✅ 用户访问系统（免登录）</w:t>
      </w:r>
    </w:p>
    <w:p>
      <w:pPr>
        <w:pStyle w:val="ListNumber"/>
      </w:pPr>
      <w:r>
        <w:rPr>
          <w:rFonts w:ascii="宋体" w:hAnsi="宋体" w:eastAsia="宋体"/>
          <w:b w:val="0"/>
          <w:sz w:val="24"/>
        </w:rPr>
        <w:t>✅ 首页一站式风险管理模式图</w:t>
      </w:r>
    </w:p>
    <w:p>
      <w:pPr>
        <w:pStyle w:val="ListNumber"/>
      </w:pPr>
      <w:r>
        <w:rPr>
          <w:rFonts w:ascii="宋体" w:hAnsi="宋体" w:eastAsia="宋体"/>
          <w:b w:val="0"/>
          <w:sz w:val="24"/>
        </w:rPr>
        <w:t>✅ 公司介绍基础页面</w:t>
      </w:r>
    </w:p>
    <w:p>
      <w:pPr>
        <w:pStyle w:val="ListNumber"/>
      </w:pPr>
      <w:r>
        <w:rPr>
          <w:rFonts w:ascii="宋体" w:hAnsi="宋体" w:eastAsia="宋体"/>
          <w:b w:val="0"/>
          <w:sz w:val="24"/>
        </w:rPr>
        <w:t>✅ 服务介绍页面</w:t>
      </w:r>
    </w:p>
    <w:p/>
    <w:p>
      <w:pPr>
        <w:pStyle w:val="Heading3"/>
      </w:pPr>
      <w:r>
        <w:rPr>
          <w:rFonts w:ascii="宋体" w:hAnsi="宋体" w:eastAsia="宋体"/>
          <w:b/>
          <w:color w:val="000000"/>
          <w:sz w:val="32"/>
        </w:rPr>
        <w:t>8.2 第二阶段：内容完善（已完成）</w:t>
      </w:r>
    </w:p>
    <w:p>
      <w:pPr>
        <w:pStyle w:val="ListNumber"/>
      </w:pPr>
      <w:r>
        <w:rPr>
          <w:rFonts w:ascii="宋体" w:hAnsi="宋体" w:eastAsia="宋体"/>
          <w:b w:val="0"/>
          <w:sz w:val="24"/>
        </w:rPr>
        <w:t>✅ 各角色专区内容</w:t>
      </w:r>
    </w:p>
    <w:p>
      <w:pPr>
        <w:pStyle w:val="ListNumber"/>
      </w:pPr>
      <w:r>
        <w:rPr>
          <w:rFonts w:ascii="宋体" w:hAnsi="宋体" w:eastAsia="宋体"/>
          <w:b w:val="0"/>
          <w:sz w:val="24"/>
        </w:rPr>
        <w:t>✅ 资源中心功能展示</w:t>
      </w:r>
    </w:p>
    <w:p>
      <w:pPr>
        <w:pStyle w:val="ListNumber"/>
      </w:pPr>
      <w:r>
        <w:rPr>
          <w:rFonts w:ascii="宋体" w:hAnsi="宋体" w:eastAsia="宋体"/>
          <w:b w:val="0"/>
          <w:sz w:val="24"/>
        </w:rPr>
        <w:t>✅ 活动动态展示</w:t>
      </w:r>
    </w:p>
    <w:p/>
    <w:p>
      <w:pPr>
        <w:pStyle w:val="Heading3"/>
      </w:pPr>
      <w:r>
        <w:rPr>
          <w:rFonts w:ascii="宋体" w:hAnsi="宋体" w:eastAsia="宋体"/>
          <w:b/>
          <w:color w:val="000000"/>
          <w:sz w:val="32"/>
        </w:rPr>
        <w:t>8.3 第三阶段：功能增强（未来扩展）</w:t>
      </w:r>
    </w:p>
    <w:p>
      <w:pPr>
        <w:pStyle w:val="ListNumber"/>
      </w:pPr>
      <w:r>
        <w:rPr>
          <w:rFonts w:ascii="宋体" w:hAnsi="宋体" w:eastAsia="宋体"/>
          <w:b w:val="0"/>
          <w:sz w:val="24"/>
        </w:rPr>
        <w:t>在线咨询功能</w:t>
      </w:r>
    </w:p>
    <w:p>
      <w:pPr>
        <w:pStyle w:val="ListNumber"/>
      </w:pPr>
      <w:r>
        <w:rPr>
          <w:rFonts w:ascii="宋体" w:hAnsi="宋体" w:eastAsia="宋体"/>
          <w:b w:val="0"/>
          <w:sz w:val="24"/>
        </w:rPr>
        <w:t>服务申请流程</w:t>
      </w:r>
    </w:p>
    <w:p>
      <w:pPr>
        <w:pStyle w:val="ListNumber"/>
      </w:pPr>
      <w:r>
        <w:rPr>
          <w:rFonts w:ascii="宋体" w:hAnsi="宋体" w:eastAsia="宋体"/>
          <w:b w:val="0"/>
          <w:sz w:val="24"/>
        </w:rPr>
        <w:t>数据统计展示</w:t>
      </w:r>
    </w:p>
    <w:p>
      <w:pPr>
        <w:pStyle w:val="ListNumber"/>
      </w:pPr>
      <w:r>
        <w:rPr>
          <w:rFonts w:ascii="宋体" w:hAnsi="宋体" w:eastAsia="宋体"/>
          <w:b w:val="0"/>
          <w:sz w:val="24"/>
        </w:rPr>
        <w:t>用户登录系统（如需要）</w:t>
      </w:r>
    </w:p>
    <w:p>
      <w:pPr>
        <w:pStyle w:val="ListNumber"/>
      </w:pPr>
      <w:r>
        <w:rPr>
          <w:rFonts w:ascii="宋体" w:hAnsi="宋体" w:eastAsia="宋体"/>
          <w:b w:val="0"/>
          <w:sz w:val="24"/>
        </w:rPr>
        <w:t>后台管理系统（如需要）</w:t>
      </w:r>
    </w:p>
    <w:p/>
    <w:p>
      <w:r>
        <w:rPr>
          <w:rFonts w:ascii="宋体" w:hAnsi="宋体" w:eastAsia="宋体"/>
          <w:b w:val="0"/>
          <w:sz w:val="24"/>
        </w:rPr>
        <w:t>---</w:t>
      </w:r>
    </w:p>
    <w:p/>
    <w:p>
      <w:pPr>
        <w:pStyle w:val="Heading2"/>
      </w:pPr>
      <w:r>
        <w:rPr>
          <w:rFonts w:ascii="宋体" w:hAnsi="宋体" w:eastAsia="宋体"/>
          <w:b/>
          <w:color w:val="000000"/>
          <w:sz w:val="36"/>
        </w:rPr>
        <w:t>九、待确认事项</w:t>
      </w:r>
    </w:p>
    <w:p/>
    <w:p>
      <w:pPr>
        <w:pStyle w:val="ListNumber"/>
      </w:pPr>
      <w:r>
        <w:rPr>
          <w:rFonts w:ascii="宋体" w:hAnsi="宋体" w:eastAsia="宋体"/>
          <w:b w:val="0"/>
          <w:sz w:val="24"/>
        </w:rPr>
        <w:t>模式图设计：需要设计团队提供一站式风险管理模式图的视觉设计</w:t>
      </w:r>
    </w:p>
    <w:p>
      <w:pPr>
        <w:pStyle w:val="ListNumber"/>
      </w:pPr>
      <w:r>
        <w:rPr>
          <w:rFonts w:ascii="宋体" w:hAnsi="宋体" w:eastAsia="宋体"/>
          <w:b w:val="0"/>
          <w:sz w:val="24"/>
        </w:rPr>
        <w:t>登录系统：是否需要注册功能，还是仅公开访问</w:t>
      </w:r>
    </w:p>
    <w:p>
      <w:pPr>
        <w:pStyle w:val="ListNumber"/>
      </w:pPr>
      <w:r>
        <w:rPr>
          <w:rFonts w:ascii="宋体" w:hAnsi="宋体" w:eastAsia="宋体"/>
          <w:b w:val="0"/>
          <w:sz w:val="24"/>
        </w:rPr>
        <w:t>费用管理：申办方内部费用管理系统的集成需求（如康方案例中提到的问题）</w:t>
      </w:r>
    </w:p>
    <w:p>
      <w:pPr>
        <w:pStyle w:val="ListNumber"/>
      </w:pPr>
      <w:r>
        <w:rPr>
          <w:rFonts w:ascii="宋体" w:hAnsi="宋体" w:eastAsia="宋体"/>
          <w:b w:val="0"/>
          <w:sz w:val="24"/>
        </w:rPr>
        <w:t>直付功能：医院直付功能的具体实现方式和时间表</w:t>
      </w:r>
    </w:p>
    <w:p>
      <w:pPr>
        <w:pStyle w:val="ListNumber"/>
      </w:pPr>
      <w:r>
        <w:rPr>
          <w:rFonts w:ascii="宋体" w:hAnsi="宋体" w:eastAsia="宋体"/>
          <w:b w:val="0"/>
          <w:sz w:val="24"/>
        </w:rPr>
        <w:t>经营资质：临研安健康服务采购的经营资质确认</w:t>
      </w:r>
    </w:p>
    <w:p>
      <w:pPr>
        <w:pStyle w:val="ListNumber"/>
      </w:pPr>
      <w:r>
        <w:rPr>
          <w:rFonts w:ascii="宋体" w:hAnsi="宋体" w:eastAsia="宋体"/>
          <w:b w:val="0"/>
          <w:sz w:val="24"/>
        </w:rPr>
        <w:t>发票管理：服务费用的发票开具方式</w:t>
      </w:r>
    </w:p>
    <w:p>
      <w:pPr>
        <w:pStyle w:val="ListNumber"/>
      </w:pPr>
      <w:r>
        <w:rPr>
          <w:rFonts w:ascii="宋体" w:hAnsi="宋体" w:eastAsia="宋体"/>
          <w:b w:val="0"/>
          <w:sz w:val="24"/>
        </w:rPr>
        <w:t>多账户管理：申办方多项目账户管理方案（总账户+项目账户模式）</w:t>
      </w:r>
    </w:p>
    <w:p>
      <w:pPr>
        <w:pStyle w:val="ListNumber"/>
      </w:pPr>
      <w:r>
        <w:rPr>
          <w:rFonts w:ascii="宋体" w:hAnsi="宋体" w:eastAsia="宋体"/>
          <w:b w:val="0"/>
          <w:sz w:val="24"/>
        </w:rPr>
        <w:t>资源中心：是否需要实现真实的文件上传下载功能</w:t>
      </w:r>
    </w:p>
    <w:p>
      <w:pPr>
        <w:pStyle w:val="ListNumber"/>
      </w:pPr>
      <w:r>
        <w:rPr>
          <w:rFonts w:ascii="宋体" w:hAnsi="宋体" w:eastAsia="宋体"/>
          <w:b w:val="0"/>
          <w:sz w:val="24"/>
        </w:rPr>
        <w:t>活动动态：是否需要后台管理系统来管理活动内容</w:t>
      </w:r>
    </w:p>
    <w:p/>
    <w:p>
      <w:r>
        <w:rPr>
          <w:rFonts w:ascii="宋体" w:hAnsi="宋体" w:eastAsia="宋体"/>
          <w:b w:val="0"/>
          <w:sz w:val="24"/>
        </w:rPr>
        <w:t>---</w:t>
      </w:r>
    </w:p>
    <w:p/>
    <w:p>
      <w:pPr>
        <w:pStyle w:val="Heading2"/>
      </w:pPr>
      <w:r>
        <w:rPr>
          <w:rFonts w:ascii="宋体" w:hAnsi="宋体" w:eastAsia="宋体"/>
          <w:b/>
          <w:color w:val="000000"/>
          <w:sz w:val="36"/>
        </w:rPr>
        <w:t>十、附录</w:t>
      </w:r>
    </w:p>
    <w:p/>
    <w:p>
      <w:pPr>
        <w:pStyle w:val="Heading3"/>
      </w:pPr>
      <w:r>
        <w:rPr>
          <w:rFonts w:ascii="宋体" w:hAnsi="宋体" w:eastAsia="宋体"/>
          <w:b/>
          <w:color w:val="000000"/>
          <w:sz w:val="32"/>
        </w:rPr>
        <w:t>10.1 术语表</w:t>
      </w:r>
    </w:p>
    <w:p>
      <w:pPr>
        <w:pStyle w:val="ListBullet"/>
      </w:pPr>
      <w:r>
        <w:rPr>
          <w:rFonts w:ascii="宋体" w:hAnsi="宋体" w:eastAsia="宋体"/>
          <w:b w:val="0"/>
          <w:sz w:val="24"/>
        </w:rPr>
        <w:t>RMO：Risk Management Organization，风险管理组织</w:t>
      </w:r>
    </w:p>
    <w:p>
      <w:pPr>
        <w:pStyle w:val="ListBullet"/>
      </w:pPr>
      <w:r>
        <w:rPr>
          <w:rFonts w:ascii="宋体" w:hAnsi="宋体" w:eastAsia="宋体"/>
          <w:b w:val="0"/>
          <w:sz w:val="24"/>
        </w:rPr>
        <w:t>AE：Adverse Event，不良事件</w:t>
      </w:r>
    </w:p>
    <w:p>
      <w:pPr>
        <w:pStyle w:val="ListBullet"/>
      </w:pPr>
      <w:r>
        <w:rPr>
          <w:rFonts w:ascii="宋体" w:hAnsi="宋体" w:eastAsia="宋体"/>
          <w:b w:val="0"/>
          <w:sz w:val="24"/>
        </w:rPr>
        <w:t>ADR：Adverse Drug Reaction，药物不良反应</w:t>
      </w:r>
    </w:p>
    <w:p>
      <w:pPr>
        <w:pStyle w:val="ListBullet"/>
      </w:pPr>
      <w:r>
        <w:rPr>
          <w:rFonts w:ascii="宋体" w:hAnsi="宋体" w:eastAsia="宋体"/>
          <w:b w:val="0"/>
          <w:sz w:val="24"/>
        </w:rPr>
        <w:t>SADR：Serious Adverse Drug Reaction，严重药物不良反应</w:t>
      </w:r>
    </w:p>
    <w:p>
      <w:pPr>
        <w:pStyle w:val="ListBullet"/>
      </w:pPr>
      <w:r>
        <w:rPr>
          <w:rFonts w:ascii="宋体" w:hAnsi="宋体" w:eastAsia="宋体"/>
          <w:b w:val="0"/>
          <w:sz w:val="24"/>
        </w:rPr>
        <w:t>SAE：Serious Adverse Event，严重不良事件</w:t>
      </w:r>
    </w:p>
    <w:p>
      <w:pPr>
        <w:pStyle w:val="ListBullet"/>
      </w:pPr>
      <w:r>
        <w:rPr>
          <w:rFonts w:ascii="宋体" w:hAnsi="宋体" w:eastAsia="宋体"/>
          <w:b w:val="0"/>
          <w:sz w:val="24"/>
        </w:rPr>
        <w:t>SUSAR：Suspected Unexpected Serious Adverse Reaction，可疑且非预期的严重不良反应</w:t>
      </w:r>
    </w:p>
    <w:p>
      <w:pPr>
        <w:pStyle w:val="ListBullet"/>
      </w:pPr>
      <w:r>
        <w:rPr>
          <w:rFonts w:ascii="宋体" w:hAnsi="宋体" w:eastAsia="宋体"/>
          <w:b w:val="0"/>
          <w:sz w:val="24"/>
        </w:rPr>
        <w:t>IB：Investigator's Brochure，研究者手册</w:t>
      </w:r>
    </w:p>
    <w:p>
      <w:pPr>
        <w:pStyle w:val="ListBullet"/>
      </w:pPr>
      <w:r>
        <w:rPr>
          <w:rFonts w:ascii="宋体" w:hAnsi="宋体" w:eastAsia="宋体"/>
          <w:b w:val="0"/>
          <w:sz w:val="24"/>
        </w:rPr>
        <w:t>RSI：Reference Safety Information，参考安全信息</w:t>
      </w:r>
    </w:p>
    <w:p>
      <w:pPr>
        <w:pStyle w:val="ListBullet"/>
      </w:pPr>
      <w:r>
        <w:rPr>
          <w:rFonts w:ascii="宋体" w:hAnsi="宋体" w:eastAsia="宋体"/>
          <w:b w:val="0"/>
          <w:sz w:val="24"/>
        </w:rPr>
        <w:t>CRO：Contract Research Organization，合同研究组织</w:t>
      </w:r>
    </w:p>
    <w:p>
      <w:pPr>
        <w:pStyle w:val="ListBullet"/>
      </w:pPr>
      <w:r>
        <w:rPr>
          <w:rFonts w:ascii="宋体" w:hAnsi="宋体" w:eastAsia="宋体"/>
          <w:b w:val="0"/>
          <w:sz w:val="24"/>
        </w:rPr>
        <w:t>CDMO：Contract Development and Manufacturing Organization，合同开发与生产组织</w:t>
      </w:r>
    </w:p>
    <w:p>
      <w:pPr>
        <w:pStyle w:val="ListBullet"/>
      </w:pPr>
      <w:r>
        <w:rPr>
          <w:rFonts w:ascii="宋体" w:hAnsi="宋体" w:eastAsia="宋体"/>
          <w:b w:val="0"/>
          <w:sz w:val="24"/>
        </w:rPr>
        <w:t>SMO：Site Management Organization，现场管理组织</w:t>
      </w:r>
    </w:p>
    <w:p/>
    <w:p>
      <w:pPr>
        <w:pStyle w:val="Heading3"/>
      </w:pPr>
      <w:r>
        <w:rPr>
          <w:rFonts w:ascii="宋体" w:hAnsi="宋体" w:eastAsia="宋体"/>
          <w:b/>
          <w:color w:val="000000"/>
          <w:sz w:val="32"/>
        </w:rPr>
        <w:t>10.2 参考文件</w:t>
      </w:r>
    </w:p>
    <w:p>
      <w:pPr>
        <w:pStyle w:val="ListBullet"/>
      </w:pPr>
      <w:r>
        <w:rPr>
          <w:rFonts w:ascii="宋体" w:hAnsi="宋体" w:eastAsia="宋体"/>
          <w:b w:val="0"/>
          <w:sz w:val="24"/>
        </w:rPr>
        <w:t>原需求文档：`临床试验保险及RMO模式网站设计思路.md`</w:t>
      </w:r>
    </w:p>
    <w:p>
      <w:pPr>
        <w:pStyle w:val="ListBullet"/>
      </w:pPr>
      <w:r>
        <w:rPr>
          <w:rFonts w:ascii="宋体" w:hAnsi="宋体" w:eastAsia="宋体"/>
          <w:b w:val="0"/>
          <w:sz w:val="24"/>
        </w:rPr>
        <w:t>相关图片资源：申办者和持有人责任风险管理相关图片</w:t>
      </w:r>
    </w:p>
    <w:p/>
    <w:p>
      <w:pPr>
        <w:pStyle w:val="Heading3"/>
      </w:pPr>
      <w:r>
        <w:rPr>
          <w:rFonts w:ascii="宋体" w:hAnsi="宋体" w:eastAsia="宋体"/>
          <w:b/>
          <w:color w:val="000000"/>
          <w:sz w:val="32"/>
        </w:rPr>
        <w:t>10.3 项目状态</w:t>
      </w:r>
    </w:p>
    <w:p>
      <w:pPr>
        <w:pStyle w:val="ListBullet"/>
      </w:pPr>
      <w:r>
        <w:rPr>
          <w:rFonts w:ascii="宋体" w:hAnsi="宋体" w:eastAsia="宋体"/>
          <w:b w:val="0"/>
          <w:sz w:val="24"/>
        </w:rPr>
        <w:t>当前版本：v1.0</w:t>
      </w:r>
    </w:p>
    <w:p>
      <w:pPr>
        <w:pStyle w:val="ListBullet"/>
      </w:pPr>
      <w:r>
        <w:rPr>
          <w:rFonts w:ascii="宋体" w:hAnsi="宋体" w:eastAsia="宋体"/>
          <w:b w:val="0"/>
          <w:sz w:val="24"/>
        </w:rPr>
        <w:t>开发状态：前端基础功能已完成，可演示</w:t>
      </w:r>
    </w:p>
    <w:p>
      <w:pPr>
        <w:pStyle w:val="ListBullet"/>
      </w:pPr>
      <w:r>
        <w:rPr>
          <w:rFonts w:ascii="宋体" w:hAnsi="宋体" w:eastAsia="宋体"/>
          <w:b w:val="0"/>
          <w:sz w:val="24"/>
        </w:rPr>
        <w:t>最后更新：2025年1月</w:t>
      </w:r>
    </w:p>
    <w:p/>
    <w:p>
      <w:r>
        <w:rPr>
          <w:rFonts w:ascii="宋体" w:hAnsi="宋体" w:eastAsia="宋体"/>
          <w:b w:val="0"/>
          <w:sz w:val="24"/>
        </w:rPr>
        <w:t>---</w:t>
      </w:r>
    </w:p>
    <w:p/>
    <w:p>
      <w:r>
        <w:rPr>
          <w:rFonts w:ascii="宋体" w:hAnsi="宋体" w:eastAsia="宋体"/>
          <w:b/>
          <w:sz w:val="24"/>
        </w:rPr>
        <w:t>文档版本</w:t>
      </w:r>
      <w:r>
        <w:rPr>
          <w:rFonts w:ascii="宋体" w:hAnsi="宋体" w:eastAsia="宋体"/>
          <w:b w:val="0"/>
          <w:sz w:val="24"/>
        </w:rPr>
        <w:t>：v1.0</w:t>
      </w:r>
    </w:p>
    <w:p>
      <w:r>
        <w:rPr>
          <w:rFonts w:ascii="宋体" w:hAnsi="宋体" w:eastAsia="宋体"/>
          <w:b/>
          <w:sz w:val="24"/>
        </w:rPr>
        <w:t>创建日期</w:t>
      </w:r>
      <w:r>
        <w:rPr>
          <w:rFonts w:ascii="宋体" w:hAnsi="宋体" w:eastAsia="宋体"/>
          <w:b w:val="0"/>
          <w:sz w:val="24"/>
        </w:rPr>
        <w:t>：2025年1月</w:t>
      </w:r>
    </w:p>
    <w:p>
      <w:r>
        <w:rPr>
          <w:rFonts w:ascii="宋体" w:hAnsi="宋体" w:eastAsia="宋体"/>
          <w:b/>
          <w:sz w:val="24"/>
        </w:rPr>
        <w:t>最后更新</w:t>
      </w:r>
      <w:r>
        <w:rPr>
          <w:rFonts w:ascii="宋体" w:hAnsi="宋体" w:eastAsia="宋体"/>
          <w:b w:val="0"/>
          <w:sz w:val="24"/>
        </w:rPr>
        <w:t>：2025年1月</w:t>
      </w:r>
    </w:p>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